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0C127">
      <w:pPr>
        <w:spacing w:line="360" w:lineRule="auto"/>
        <w:jc w:val="center"/>
        <w:rPr>
          <w:rFonts w:ascii="仿宋_GB2312" w:hAnsi="黑体" w:eastAsia="仿宋_GB2312" w:cs="宋体"/>
          <w:sz w:val="32"/>
          <w:szCs w:val="32"/>
        </w:rPr>
      </w:pPr>
      <w:r>
        <w:rPr>
          <w:rFonts w:hint="eastAsia" w:ascii="方正小标宋简体" w:hAnsi="华文中宋" w:eastAsia="方正小标宋简体"/>
          <w:bCs/>
          <w:sz w:val="44"/>
          <w:szCs w:val="44"/>
        </w:rPr>
        <w:t>吉首大学研究生国家奖学金评审办法</w:t>
      </w:r>
    </w:p>
    <w:p w14:paraId="1E9164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黑体" w:eastAsia="仿宋_GB2312" w:cs="宋体"/>
          <w:b/>
          <w:sz w:val="32"/>
          <w:szCs w:val="32"/>
        </w:rPr>
      </w:pPr>
      <w:r>
        <w:rPr>
          <w:rFonts w:hint="eastAsia" w:ascii="仿宋_GB2312" w:hAnsi="黑体" w:eastAsia="仿宋_GB2312" w:cs="宋体"/>
          <w:b/>
          <w:sz w:val="32"/>
          <w:szCs w:val="32"/>
        </w:rPr>
        <w:t>第一章 总则</w:t>
      </w:r>
    </w:p>
    <w:p w14:paraId="7B48B19A">
      <w:pPr>
        <w:pStyle w:val="4"/>
        <w:keepNext w:val="0"/>
        <w:keepLines w:val="0"/>
        <w:pageBreakBefore w:val="0"/>
        <w:widowControl w:val="0"/>
        <w:kinsoku/>
        <w:wordWrap/>
        <w:overflowPunct/>
        <w:topLinePunct w:val="0"/>
        <w:autoSpaceDE/>
        <w:autoSpaceDN/>
        <w:bidi w:val="0"/>
        <w:adjustRightInd/>
        <w:snapToGrid/>
        <w:spacing w:before="205" w:line="360" w:lineRule="auto"/>
        <w:ind w:right="153" w:firstLine="560" w:firstLineChars="200"/>
        <w:textAlignment w:val="auto"/>
        <w:rPr>
          <w:rFonts w:ascii="仿宋_GB2312" w:hAnsi="宋体" w:eastAsia="仿宋_GB2312" w:cs="宋体"/>
          <w:sz w:val="28"/>
          <w:szCs w:val="28"/>
        </w:rPr>
      </w:pPr>
      <w:r>
        <w:rPr>
          <w:rFonts w:hint="eastAsia" w:ascii="仿宋_GB2312" w:hAnsi="黑体" w:eastAsia="仿宋_GB2312" w:cs="宋体"/>
          <w:sz w:val="28"/>
          <w:szCs w:val="28"/>
        </w:rPr>
        <w:t>第一条</w:t>
      </w:r>
      <w:r>
        <w:rPr>
          <w:rFonts w:hint="eastAsia" w:ascii="仿宋_GB2312" w:hAnsi="宋体" w:eastAsia="仿宋_GB2312" w:cs="宋体"/>
          <w:sz w:val="28"/>
          <w:szCs w:val="28"/>
        </w:rPr>
        <w:t xml:space="preserve"> 为贯彻落实《学生资助资金管理办法》(财教〔2021〕310号)、《教育部、财政部关于&lt;印发普通高等学校研究生国家奖学金评审办法&gt;的通知》（教财〔2014〕1号）、《湖南省学生资助资金管理办法》(湘财教〔2022〕13号)及《关于做好2025年普通高校国家奖助学金评审工作的通知》（湘学助〔2025〕23号）等文件精神和要求，现结合我校实际，制定本评审暂行办法。</w:t>
      </w:r>
    </w:p>
    <w:p w14:paraId="719D1B98">
      <w:pPr>
        <w:pStyle w:val="4"/>
        <w:keepNext w:val="0"/>
        <w:keepLines w:val="0"/>
        <w:pageBreakBefore w:val="0"/>
        <w:widowControl w:val="0"/>
        <w:kinsoku/>
        <w:wordWrap/>
        <w:overflowPunct/>
        <w:topLinePunct w:val="0"/>
        <w:autoSpaceDE/>
        <w:autoSpaceDN/>
        <w:bidi w:val="0"/>
        <w:adjustRightInd/>
        <w:snapToGrid/>
        <w:spacing w:before="205" w:line="360" w:lineRule="auto"/>
        <w:ind w:right="153" w:firstLine="560" w:firstLineChars="200"/>
        <w:textAlignment w:val="auto"/>
        <w:rPr>
          <w:rFonts w:hint="eastAsia" w:ascii="仿宋_GB2312" w:hAnsi="黑体" w:eastAsia="仿宋_GB2312" w:cs="宋体"/>
          <w:sz w:val="28"/>
          <w:szCs w:val="28"/>
        </w:rPr>
      </w:pPr>
      <w:r>
        <w:rPr>
          <w:rFonts w:hint="eastAsia" w:ascii="仿宋_GB2312" w:hAnsi="黑体" w:eastAsia="仿宋_GB2312" w:cs="宋体"/>
          <w:sz w:val="28"/>
          <w:szCs w:val="28"/>
        </w:rPr>
        <w:t>第二条 研究生国家奖学金来源于中央财政专项资金，用于奖励攻读博士、硕士学位期间表现优异的具有中华人民共和国国籍且纳入全国研究生招生计划的全日制（全脱产学习）研究生。当年毕业研究生不再具备申请国家奖学金资格。</w:t>
      </w:r>
    </w:p>
    <w:p w14:paraId="3EAE04A8">
      <w:pPr>
        <w:pStyle w:val="4"/>
        <w:keepNext w:val="0"/>
        <w:keepLines w:val="0"/>
        <w:pageBreakBefore w:val="0"/>
        <w:widowControl w:val="0"/>
        <w:kinsoku/>
        <w:wordWrap/>
        <w:overflowPunct/>
        <w:topLinePunct w:val="0"/>
        <w:autoSpaceDE/>
        <w:autoSpaceDN/>
        <w:bidi w:val="0"/>
        <w:adjustRightInd/>
        <w:snapToGrid/>
        <w:spacing w:before="205" w:line="360" w:lineRule="auto"/>
        <w:ind w:right="153" w:firstLine="560" w:firstLineChars="200"/>
        <w:textAlignment w:val="auto"/>
        <w:rPr>
          <w:rFonts w:hint="eastAsia" w:ascii="仿宋_GB2312" w:hAnsi="黑体" w:eastAsia="仿宋_GB2312" w:cs="宋体"/>
          <w:sz w:val="28"/>
          <w:szCs w:val="28"/>
        </w:rPr>
      </w:pPr>
      <w:r>
        <w:rPr>
          <w:rFonts w:hint="eastAsia" w:ascii="仿宋_GB2312" w:hAnsi="黑体" w:eastAsia="仿宋_GB2312" w:cs="宋体"/>
          <w:sz w:val="28"/>
          <w:szCs w:val="28"/>
        </w:rPr>
        <w:t>第三条 研究生国家奖学金每年评审一次，学校根据实际名额分配到各培养单位。</w:t>
      </w:r>
    </w:p>
    <w:p w14:paraId="703064D5">
      <w:pPr>
        <w:spacing w:line="360" w:lineRule="auto"/>
        <w:jc w:val="center"/>
        <w:rPr>
          <w:rFonts w:ascii="仿宋_GB2312" w:hAnsi="黑体" w:eastAsia="仿宋_GB2312" w:cs="宋体"/>
          <w:b/>
          <w:sz w:val="28"/>
          <w:szCs w:val="28"/>
        </w:rPr>
      </w:pPr>
    </w:p>
    <w:p w14:paraId="3132105B">
      <w:pPr>
        <w:spacing w:line="360" w:lineRule="auto"/>
        <w:jc w:val="center"/>
        <w:rPr>
          <w:rFonts w:ascii="仿宋_GB2312" w:hAnsi="黑体" w:eastAsia="仿宋_GB2312" w:cs="宋体"/>
          <w:b/>
          <w:sz w:val="32"/>
          <w:szCs w:val="32"/>
        </w:rPr>
      </w:pPr>
      <w:r>
        <w:rPr>
          <w:rFonts w:hint="eastAsia" w:ascii="仿宋_GB2312" w:hAnsi="黑体" w:eastAsia="仿宋_GB2312" w:cs="宋体"/>
          <w:b/>
          <w:sz w:val="32"/>
          <w:szCs w:val="32"/>
        </w:rPr>
        <w:t>第二章 奖励标准与基本要求</w:t>
      </w:r>
    </w:p>
    <w:p w14:paraId="52BECE82">
      <w:pPr>
        <w:spacing w:line="360" w:lineRule="auto"/>
        <w:ind w:firstLine="560" w:firstLineChars="200"/>
        <w:rPr>
          <w:rFonts w:hint="eastAsia" w:ascii="仿宋_GB2312" w:hAnsi="黑体" w:eastAsia="仿宋_GB2312" w:cs="宋体"/>
          <w:kern w:val="2"/>
          <w:sz w:val="28"/>
          <w:szCs w:val="28"/>
          <w:lang w:val="en-US" w:eastAsia="en-US" w:bidi="ar-SA"/>
        </w:rPr>
      </w:pPr>
      <w:r>
        <w:rPr>
          <w:rFonts w:hint="eastAsia" w:ascii="仿宋_GB2312" w:hAnsi="黑体" w:eastAsia="仿宋_GB2312" w:cs="宋体"/>
          <w:kern w:val="2"/>
          <w:sz w:val="28"/>
          <w:szCs w:val="28"/>
          <w:lang w:val="en-US" w:eastAsia="en-US" w:bidi="ar-SA"/>
        </w:rPr>
        <w:t>第四条 博士研究生国家奖学金奖励标准为每生每年3万元；硕士研究生国家奖学金奖励标准为每生每年2万元。</w:t>
      </w:r>
    </w:p>
    <w:p w14:paraId="7BCD0EB8">
      <w:pPr>
        <w:spacing w:line="360" w:lineRule="auto"/>
        <w:ind w:firstLine="560" w:firstLineChars="200"/>
        <w:rPr>
          <w:rFonts w:hint="eastAsia" w:ascii="仿宋_GB2312" w:hAnsi="黑体" w:eastAsia="仿宋_GB2312" w:cs="宋体"/>
          <w:kern w:val="2"/>
          <w:sz w:val="28"/>
          <w:szCs w:val="28"/>
          <w:lang w:val="en-US" w:eastAsia="en-US" w:bidi="ar-SA"/>
        </w:rPr>
      </w:pPr>
      <w:r>
        <w:rPr>
          <w:rFonts w:hint="eastAsia" w:ascii="仿宋_GB2312" w:hAnsi="黑体" w:eastAsia="仿宋_GB2312" w:cs="宋体"/>
          <w:kern w:val="2"/>
          <w:sz w:val="28"/>
          <w:szCs w:val="28"/>
          <w:lang w:val="en-US" w:eastAsia="en-US" w:bidi="ar-SA"/>
        </w:rPr>
        <w:t>第五条 研究生国家奖学金申请的基本要求：</w:t>
      </w:r>
    </w:p>
    <w:p w14:paraId="3829CFBE">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1、热爱社会主义祖国，拥护中国共产党的领导；</w:t>
      </w:r>
    </w:p>
    <w:p w14:paraId="75EFB788">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2、遵守宪法和法律，遵守高等学校规章制度；</w:t>
      </w:r>
    </w:p>
    <w:p w14:paraId="75F3F43F">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3、诚实守信，道德品质优良；</w:t>
      </w:r>
    </w:p>
    <w:p w14:paraId="1A8E7AB0">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4、学习成绩优异，科研能力显著，发展潜力突出。对学术型研究生，评审标准应偏重考察其科研创新能力和体现创新能力的科研成果；对专业学位研究生，评审标准应偏重考察其专业实践能力和适应专业岗位的综合素质。</w:t>
      </w:r>
    </w:p>
    <w:p w14:paraId="4DF487D4">
      <w:pPr>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5、学术型研究生须以第一作者发表省级以上（含省级）论文1篇及主持校级以上（含校级）科研课题1项。专业学位硕士研究生的专业竞赛要求由各培养单位制定。</w:t>
      </w:r>
    </w:p>
    <w:p w14:paraId="1C76C30A">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第六条</w:t>
      </w:r>
      <w:r>
        <w:rPr>
          <w:rFonts w:hint="eastAsia" w:ascii="仿宋_GB2312" w:hAnsi="黑体" w:eastAsia="仿宋_GB2312" w:cs="宋体"/>
          <w:sz w:val="28"/>
          <w:szCs w:val="28"/>
          <w:lang w:val="en-US" w:eastAsia="zh-CN"/>
        </w:rPr>
        <w:t xml:space="preserve"> </w:t>
      </w:r>
      <w:r>
        <w:rPr>
          <w:rFonts w:hint="eastAsia" w:ascii="仿宋_GB2312" w:hAnsi="宋体" w:eastAsia="仿宋_GB2312" w:cs="宋体"/>
          <w:sz w:val="28"/>
          <w:szCs w:val="28"/>
        </w:rPr>
        <w:t>研究生出现以下情况之一，取消当年研究生国家奖学金参评资格：</w:t>
      </w:r>
    </w:p>
    <w:p w14:paraId="3E5896B9">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1、违反国家法律、校纪校规受到纪律处分者；</w:t>
      </w:r>
    </w:p>
    <w:p w14:paraId="11D72F59">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2、有抄袭剽窃、弄虚作假等学术不端行为经查证属实者；</w:t>
      </w:r>
    </w:p>
    <w:p w14:paraId="280D4F0B">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3、学籍状态处于休学、保留学籍者；</w:t>
      </w:r>
    </w:p>
    <w:p w14:paraId="5EE1434E">
      <w:pPr>
        <w:spacing w:line="360" w:lineRule="auto"/>
        <w:ind w:firstLine="560" w:firstLineChars="200"/>
        <w:rPr>
          <w:rFonts w:ascii="仿宋_GB2312" w:hAnsi="黑体" w:eastAsia="仿宋_GB2312" w:cs="宋体"/>
          <w:b w:val="0"/>
          <w:bCs w:val="0"/>
          <w:color w:val="auto"/>
          <w:sz w:val="28"/>
          <w:szCs w:val="28"/>
          <w:highlight w:val="none"/>
        </w:rPr>
      </w:pPr>
      <w:r>
        <w:rPr>
          <w:rFonts w:hint="eastAsia" w:ascii="仿宋_GB2312" w:hAnsi="宋体" w:eastAsia="仿宋_GB2312" w:cs="宋体"/>
          <w:b w:val="0"/>
          <w:bCs w:val="0"/>
          <w:color w:val="auto"/>
          <w:sz w:val="28"/>
          <w:szCs w:val="28"/>
          <w:highlight w:val="none"/>
        </w:rPr>
        <w:t>4、单科课程考试成绩低于75分者；平均成绩低于80分者；课程重修者</w:t>
      </w:r>
      <w:r>
        <w:rPr>
          <w:rFonts w:hint="eastAsia" w:ascii="仿宋_GB2312" w:hAnsi="宋体" w:eastAsia="仿宋_GB2312" w:cs="宋体"/>
          <w:b w:val="0"/>
          <w:bCs w:val="0"/>
          <w:color w:val="auto"/>
          <w:sz w:val="28"/>
          <w:szCs w:val="28"/>
          <w:highlight w:val="none"/>
          <w:lang w:val="en-US" w:eastAsia="zh-CN"/>
        </w:rPr>
        <w:t>。</w:t>
      </w:r>
    </w:p>
    <w:p w14:paraId="5F3D97F3">
      <w:pPr>
        <w:spacing w:line="360" w:lineRule="auto"/>
        <w:jc w:val="center"/>
        <w:rPr>
          <w:rFonts w:ascii="仿宋_GB2312" w:hAnsi="黑体" w:eastAsia="仿宋_GB2312" w:cs="宋体"/>
          <w:b/>
          <w:sz w:val="28"/>
          <w:szCs w:val="28"/>
        </w:rPr>
      </w:pPr>
    </w:p>
    <w:p w14:paraId="4D078DD5">
      <w:pPr>
        <w:spacing w:line="360" w:lineRule="auto"/>
        <w:jc w:val="center"/>
        <w:rPr>
          <w:rFonts w:ascii="仿宋_GB2312" w:hAnsi="黑体" w:eastAsia="仿宋_GB2312" w:cs="宋体"/>
          <w:b/>
          <w:sz w:val="32"/>
          <w:szCs w:val="32"/>
        </w:rPr>
      </w:pPr>
      <w:r>
        <w:rPr>
          <w:rFonts w:hint="eastAsia" w:ascii="仿宋_GB2312" w:hAnsi="黑体" w:eastAsia="仿宋_GB2312" w:cs="宋体"/>
          <w:b/>
          <w:sz w:val="32"/>
          <w:szCs w:val="32"/>
        </w:rPr>
        <w:t>第三章 评审组织及原则</w:t>
      </w:r>
    </w:p>
    <w:p w14:paraId="4E5AA2CC">
      <w:pPr>
        <w:spacing w:line="360" w:lineRule="auto"/>
        <w:ind w:firstLine="548" w:firstLineChars="196"/>
        <w:rPr>
          <w:rFonts w:ascii="仿宋_GB2312" w:hAnsi="宋体" w:eastAsia="仿宋_GB2312" w:cs="宋体"/>
          <w:sz w:val="28"/>
          <w:szCs w:val="28"/>
        </w:rPr>
      </w:pPr>
      <w:r>
        <w:rPr>
          <w:rFonts w:hint="eastAsia" w:ascii="仿宋_GB2312" w:hAnsi="黑体" w:eastAsia="仿宋_GB2312" w:cs="宋体"/>
          <w:sz w:val="28"/>
          <w:szCs w:val="28"/>
        </w:rPr>
        <w:t>第七条</w:t>
      </w:r>
      <w:r>
        <w:rPr>
          <w:rFonts w:hint="eastAsia" w:ascii="仿宋_GB2312" w:hAnsi="宋体" w:eastAsia="仿宋_GB2312" w:cs="宋体"/>
          <w:sz w:val="28"/>
          <w:szCs w:val="28"/>
        </w:rPr>
        <w:t xml:space="preserve"> 学校成立研究生国家奖学金评审领导小组，设评审领导小组办公室，由研究生院负责。主管校长任组长，研究生院院长任副组长，成员由研究生院副院长、各培养单位主要负责人组成。</w:t>
      </w:r>
    </w:p>
    <w:p w14:paraId="0783CB9C">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评审领导小组负责制订学校研究生国家奖学金评审办法、名额分配方案；统筹领导、协调、监督学校评审工作；受理学生申诉。</w:t>
      </w:r>
    </w:p>
    <w:p w14:paraId="0A4CED05">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第八条</w:t>
      </w:r>
      <w:r>
        <w:rPr>
          <w:rFonts w:hint="eastAsia" w:ascii="仿宋_GB2312" w:hAnsi="宋体" w:eastAsia="仿宋_GB2312" w:cs="宋体"/>
          <w:sz w:val="28"/>
          <w:szCs w:val="28"/>
        </w:rPr>
        <w:t xml:space="preserve"> 各培养单位成立研究生国家奖学金评审委员会（以下简称评审委员会），各二级培养单位负责人、导师代表、管理人员代表、研究生代表任委员，成员由5</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rPr>
        <w:t>7人单数组成。</w:t>
      </w:r>
    </w:p>
    <w:p w14:paraId="6E796720">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评审委员会按照学校研究生国家奖学金评审办法，制定本单位研究生国家奖学金评审实施细则，负责本单位研究生国家奖学金申报、评审及推荐等工作。</w:t>
      </w:r>
    </w:p>
    <w:p w14:paraId="44090A2D">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第九条</w:t>
      </w:r>
      <w:r>
        <w:rPr>
          <w:rFonts w:hint="eastAsia" w:ascii="仿宋_GB2312" w:hAnsi="宋体" w:eastAsia="仿宋_GB2312" w:cs="宋体"/>
          <w:sz w:val="28"/>
          <w:szCs w:val="28"/>
        </w:rPr>
        <w:t xml:space="preserve"> 评审委员会在评审过程中时应遵循平等、回避、公正、保密的原则。</w:t>
      </w:r>
    </w:p>
    <w:p w14:paraId="6A41C245">
      <w:pPr>
        <w:spacing w:line="360" w:lineRule="auto"/>
        <w:rPr>
          <w:rFonts w:ascii="仿宋_GB2312" w:hAnsi="黑体" w:eastAsia="仿宋_GB2312" w:cs="宋体"/>
          <w:sz w:val="28"/>
          <w:szCs w:val="28"/>
        </w:rPr>
      </w:pPr>
    </w:p>
    <w:p w14:paraId="7B9A9919">
      <w:pPr>
        <w:spacing w:line="360" w:lineRule="auto"/>
        <w:jc w:val="center"/>
        <w:rPr>
          <w:rFonts w:ascii="仿宋_GB2312" w:hAnsi="黑体" w:eastAsia="仿宋_GB2312" w:cs="宋体"/>
          <w:b/>
          <w:sz w:val="32"/>
          <w:szCs w:val="32"/>
        </w:rPr>
      </w:pPr>
      <w:r>
        <w:rPr>
          <w:rFonts w:hint="eastAsia" w:ascii="仿宋_GB2312" w:hAnsi="黑体" w:eastAsia="仿宋_GB2312" w:cs="宋体"/>
          <w:b/>
          <w:sz w:val="32"/>
          <w:szCs w:val="32"/>
        </w:rPr>
        <w:t>第四章 评审程序</w:t>
      </w:r>
    </w:p>
    <w:p w14:paraId="0F96C626">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第十条</w:t>
      </w:r>
      <w:r>
        <w:rPr>
          <w:rFonts w:hint="eastAsia" w:ascii="仿宋_GB2312" w:hAnsi="宋体" w:eastAsia="仿宋_GB2312" w:cs="宋体"/>
          <w:sz w:val="28"/>
          <w:szCs w:val="28"/>
        </w:rPr>
        <w:t xml:space="preserve"> 各二级培养单位制定研究生国家奖学金评审实施细则并公示。</w:t>
      </w:r>
    </w:p>
    <w:p w14:paraId="0E36EF6B">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第十一条</w:t>
      </w:r>
      <w:r>
        <w:rPr>
          <w:rFonts w:hint="eastAsia" w:ascii="仿宋_GB2312" w:hAnsi="宋体" w:eastAsia="仿宋_GB2312" w:cs="宋体"/>
          <w:sz w:val="28"/>
          <w:szCs w:val="28"/>
        </w:rPr>
        <w:t xml:space="preserve"> 申报资格审查。参评研究生根据单位评审实施细则的基本要求、条件，填写《研究生国家奖学金申请审批表》，并向所属单位提交研究生课程学习成绩单、发表论文、科研成果</w:t>
      </w:r>
      <w:r>
        <w:rPr>
          <w:rFonts w:hint="eastAsia" w:ascii="仿宋_GB2312" w:hAnsi="宋体" w:eastAsia="仿宋_GB2312" w:cs="宋体"/>
          <w:sz w:val="28"/>
          <w:szCs w:val="28"/>
          <w:lang w:eastAsia="zh-CN"/>
        </w:rPr>
        <w:t>及其他</w:t>
      </w:r>
      <w:r>
        <w:rPr>
          <w:rFonts w:hint="eastAsia" w:ascii="仿宋_GB2312" w:hAnsi="宋体" w:eastAsia="仿宋_GB2312" w:cs="宋体"/>
          <w:sz w:val="28"/>
          <w:szCs w:val="28"/>
        </w:rPr>
        <w:t>获奖等材料原件。评审委员会对参评研究生进行资格审查。</w:t>
      </w:r>
    </w:p>
    <w:p w14:paraId="3519EA4E">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第十二条</w:t>
      </w:r>
      <w:r>
        <w:rPr>
          <w:rFonts w:hint="eastAsia" w:ascii="仿宋_GB2312" w:hAnsi="黑体" w:eastAsia="仿宋_GB2312" w:cs="宋体"/>
          <w:sz w:val="28"/>
          <w:szCs w:val="28"/>
          <w:lang w:val="en-US" w:eastAsia="zh-CN"/>
        </w:rPr>
        <w:t xml:space="preserve"> </w:t>
      </w:r>
      <w:r>
        <w:rPr>
          <w:rFonts w:hint="eastAsia" w:ascii="仿宋_GB2312" w:hAnsi="宋体" w:eastAsia="仿宋_GB2312" w:cs="宋体"/>
          <w:sz w:val="28"/>
          <w:szCs w:val="28"/>
        </w:rPr>
        <w:t>组织评审。评审委员会依据本办法和本单位的评审实施细则，组织国家奖学金的评审。评审必须实行差额评选，并进行公开答辩。</w:t>
      </w:r>
    </w:p>
    <w:p w14:paraId="099CB5F6">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第十三条</w:t>
      </w:r>
      <w:r>
        <w:rPr>
          <w:rFonts w:hint="eastAsia" w:ascii="仿宋_GB2312" w:hAnsi="黑体" w:eastAsia="仿宋_GB2312" w:cs="宋体"/>
          <w:sz w:val="28"/>
          <w:szCs w:val="28"/>
          <w:lang w:val="en-US" w:eastAsia="zh-CN"/>
        </w:rPr>
        <w:t xml:space="preserve"> </w:t>
      </w:r>
      <w:r>
        <w:rPr>
          <w:rFonts w:hint="eastAsia" w:ascii="仿宋_GB2312" w:hAnsi="黑体" w:eastAsia="仿宋_GB2312" w:cs="宋体"/>
          <w:sz w:val="28"/>
          <w:szCs w:val="28"/>
        </w:rPr>
        <w:t>二级</w:t>
      </w:r>
      <w:r>
        <w:rPr>
          <w:rFonts w:hint="eastAsia" w:ascii="仿宋_GB2312" w:hAnsi="宋体" w:eastAsia="仿宋_GB2312" w:cs="宋体"/>
          <w:sz w:val="28"/>
          <w:szCs w:val="28"/>
        </w:rPr>
        <w:t>培养单位公示。评审结果在本单位公示5日。公示无异议后，将结果报学校研究生国家奖学金评审领导小组办公室。</w:t>
      </w:r>
    </w:p>
    <w:p w14:paraId="3B4CBF37">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第十四条</w:t>
      </w:r>
      <w:r>
        <w:rPr>
          <w:rFonts w:hint="eastAsia" w:ascii="仿宋_GB2312" w:hAnsi="宋体" w:eastAsia="仿宋_GB2312" w:cs="宋体"/>
          <w:sz w:val="28"/>
          <w:szCs w:val="28"/>
        </w:rPr>
        <w:t xml:space="preserve"> 复核及上报。学校研究生国家奖学金评审领导小组办公室对各二级培养单位报送的评审结果进行复核审查，报学校研究生国家奖学金评审领导小组审定。审定结果在校内公示5日无异议后，将相关材料上报湖南省学生资助管理中心。</w:t>
      </w:r>
    </w:p>
    <w:p w14:paraId="5B2FE83E">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第十五条</w:t>
      </w:r>
      <w:r>
        <w:rPr>
          <w:rFonts w:hint="eastAsia" w:ascii="仿宋_GB2312" w:hAnsi="宋体" w:eastAsia="仿宋_GB2312" w:cs="宋体"/>
          <w:sz w:val="28"/>
          <w:szCs w:val="28"/>
        </w:rPr>
        <w:t xml:space="preserve"> 申诉。对研究生国家奖学金评审结果有异议的研究生，可在二级培养单位公示期内向评审委员会提出申诉，评审委员会应及时研究并予以答复。如申诉人对答复仍存在异议或对学校公示有异议，可在学校公示期内向学校评审领导小组提请裁决。</w:t>
      </w:r>
    </w:p>
    <w:p w14:paraId="3BA6FC63">
      <w:pPr>
        <w:spacing w:line="360" w:lineRule="auto"/>
        <w:rPr>
          <w:rFonts w:ascii="仿宋_GB2312" w:hAnsi="黑体" w:eastAsia="仿宋_GB2312" w:cs="宋体"/>
          <w:sz w:val="28"/>
          <w:szCs w:val="28"/>
        </w:rPr>
      </w:pPr>
    </w:p>
    <w:p w14:paraId="3FCCCD84">
      <w:pPr>
        <w:spacing w:line="360" w:lineRule="auto"/>
        <w:jc w:val="center"/>
        <w:rPr>
          <w:rFonts w:ascii="仿宋_GB2312" w:hAnsi="黑体" w:eastAsia="仿宋_GB2312" w:cs="宋体"/>
          <w:b/>
          <w:sz w:val="32"/>
          <w:szCs w:val="32"/>
        </w:rPr>
      </w:pPr>
      <w:r>
        <w:rPr>
          <w:rFonts w:hint="eastAsia" w:ascii="仿宋_GB2312" w:hAnsi="黑体" w:eastAsia="仿宋_GB2312" w:cs="宋体"/>
          <w:b/>
          <w:sz w:val="32"/>
          <w:szCs w:val="32"/>
        </w:rPr>
        <w:t>第五章 监督检查</w:t>
      </w:r>
    </w:p>
    <w:p w14:paraId="3AB73415">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第十六条</w:t>
      </w:r>
      <w:r>
        <w:rPr>
          <w:rFonts w:hint="eastAsia" w:ascii="仿宋_GB2312" w:hAnsi="宋体" w:eastAsia="仿宋_GB2312" w:cs="宋体"/>
          <w:sz w:val="28"/>
          <w:szCs w:val="28"/>
        </w:rPr>
        <w:t xml:space="preserve"> 各二级培养单位应将研究生国家奖学金获得情况记入研究生学籍档案。</w:t>
      </w:r>
    </w:p>
    <w:p w14:paraId="7E3D717A">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 xml:space="preserve">第十七条 </w:t>
      </w:r>
      <w:r>
        <w:rPr>
          <w:rFonts w:hint="eastAsia" w:ascii="仿宋_GB2312" w:hAnsi="宋体" w:eastAsia="仿宋_GB2312" w:cs="宋体"/>
          <w:sz w:val="28"/>
          <w:szCs w:val="28"/>
        </w:rPr>
        <w:t>研究生国家奖学金的评审工作，坚持公开、公平、公正、择优的原则，严格执行国家有关教育法规，按评审程序操作，接受学校纪检监察部门的监督，杜绝弄虚作假。</w:t>
      </w:r>
    </w:p>
    <w:p w14:paraId="4F570395">
      <w:pPr>
        <w:spacing w:line="360" w:lineRule="auto"/>
        <w:ind w:firstLine="560" w:firstLineChars="200"/>
        <w:rPr>
          <w:rFonts w:ascii="仿宋_GB2312" w:hAnsi="宋体" w:eastAsia="仿宋_GB2312" w:cs="宋体"/>
          <w:sz w:val="28"/>
          <w:szCs w:val="28"/>
        </w:rPr>
      </w:pPr>
      <w:r>
        <w:rPr>
          <w:rFonts w:hint="eastAsia" w:ascii="仿宋_GB2312" w:hAnsi="黑体" w:eastAsia="仿宋_GB2312" w:cs="宋体"/>
          <w:sz w:val="28"/>
          <w:szCs w:val="28"/>
        </w:rPr>
        <w:t>第十八条</w:t>
      </w:r>
      <w:r>
        <w:rPr>
          <w:rFonts w:hint="eastAsia" w:ascii="仿宋_GB2312" w:hAnsi="宋体" w:eastAsia="仿宋_GB2312" w:cs="宋体"/>
          <w:sz w:val="28"/>
          <w:szCs w:val="28"/>
        </w:rPr>
        <w:t xml:space="preserve"> 学校对研究生国家奖学金</w:t>
      </w:r>
      <w:r>
        <w:rPr>
          <w:rFonts w:hint="eastAsia" w:ascii="仿宋_GB2312" w:hAnsi="宋体" w:eastAsia="仿宋_GB2312"/>
          <w:sz w:val="28"/>
          <w:szCs w:val="28"/>
        </w:rPr>
        <w:t>严格执行单独核算、</w:t>
      </w:r>
      <w:r>
        <w:rPr>
          <w:rFonts w:hint="eastAsia" w:ascii="仿宋_GB2312" w:hAnsi="宋体" w:eastAsia="仿宋_GB2312" w:cs="宋体"/>
          <w:sz w:val="28"/>
          <w:szCs w:val="28"/>
        </w:rPr>
        <w:t>专款专用的规定，及时将奖学金转入到获奖研究生银行卡，不截留、挪用和挤占，</w:t>
      </w:r>
      <w:r>
        <w:rPr>
          <w:rFonts w:hint="eastAsia" w:ascii="仿宋_GB2312" w:hAnsi="宋体" w:eastAsia="仿宋_GB2312"/>
          <w:sz w:val="28"/>
          <w:szCs w:val="28"/>
        </w:rPr>
        <w:t>并</w:t>
      </w:r>
      <w:r>
        <w:rPr>
          <w:rFonts w:hint="eastAsia" w:ascii="仿宋_GB2312" w:hAnsi="宋体" w:eastAsia="仿宋_GB2312" w:cs="宋体"/>
          <w:sz w:val="28"/>
          <w:szCs w:val="28"/>
        </w:rPr>
        <w:t>自觉接受学校纪检、监察和审计等部门的检查和监督。</w:t>
      </w:r>
    </w:p>
    <w:p w14:paraId="763AB55E">
      <w:pPr>
        <w:spacing w:line="360" w:lineRule="auto"/>
        <w:rPr>
          <w:rFonts w:ascii="仿宋_GB2312" w:hAnsi="黑体" w:eastAsia="仿宋_GB2312" w:cs="宋体"/>
          <w:sz w:val="28"/>
          <w:szCs w:val="28"/>
        </w:rPr>
      </w:pPr>
    </w:p>
    <w:p w14:paraId="3BD6511C">
      <w:pPr>
        <w:spacing w:line="360" w:lineRule="auto"/>
        <w:jc w:val="center"/>
        <w:rPr>
          <w:rFonts w:ascii="仿宋_GB2312" w:hAnsi="黑体" w:eastAsia="仿宋_GB2312" w:cs="宋体"/>
          <w:b/>
          <w:sz w:val="32"/>
          <w:szCs w:val="32"/>
        </w:rPr>
      </w:pPr>
      <w:r>
        <w:rPr>
          <w:rFonts w:hint="eastAsia" w:ascii="仿宋_GB2312" w:hAnsi="黑体" w:eastAsia="仿宋_GB2312" w:cs="宋体"/>
          <w:b/>
          <w:sz w:val="32"/>
          <w:szCs w:val="32"/>
        </w:rPr>
        <w:t>第六章 附则</w:t>
      </w:r>
    </w:p>
    <w:p w14:paraId="64B9444B">
      <w:pPr>
        <w:spacing w:line="360" w:lineRule="auto"/>
        <w:ind w:firstLine="554" w:firstLineChars="198"/>
        <w:rPr>
          <w:rFonts w:ascii="仿宋_GB2312" w:hAnsi="宋体" w:eastAsia="仿宋_GB2312" w:cs="宋体"/>
          <w:sz w:val="28"/>
          <w:szCs w:val="28"/>
        </w:rPr>
      </w:pPr>
      <w:r>
        <w:rPr>
          <w:rFonts w:hint="eastAsia" w:ascii="仿宋_GB2312" w:hAnsi="黑体" w:eastAsia="仿宋_GB2312" w:cs="宋体"/>
          <w:sz w:val="28"/>
          <w:szCs w:val="28"/>
        </w:rPr>
        <w:t xml:space="preserve">第十九条 </w:t>
      </w:r>
      <w:r>
        <w:rPr>
          <w:rFonts w:hint="eastAsia" w:ascii="仿宋_GB2312" w:hAnsi="宋体" w:eastAsia="仿宋_GB2312" w:cs="宋体"/>
          <w:sz w:val="28"/>
          <w:szCs w:val="28"/>
        </w:rPr>
        <w:t>研究生在学制年限内可多次获得研究生国家奖学金，但</w:t>
      </w:r>
      <w:r>
        <w:rPr>
          <w:rFonts w:hint="eastAsia" w:ascii="仿宋_GB2312" w:hAnsi="宋体" w:eastAsia="仿宋_GB2312" w:cs="宋体"/>
          <w:b w:val="0"/>
          <w:bCs w:val="0"/>
          <w:sz w:val="28"/>
          <w:szCs w:val="28"/>
        </w:rPr>
        <w:t>所有参评成果不可重复申报使用</w:t>
      </w:r>
      <w:r>
        <w:rPr>
          <w:rFonts w:hint="eastAsia" w:ascii="仿宋_GB2312" w:hAnsi="宋体" w:eastAsia="仿宋_GB2312" w:cs="宋体"/>
          <w:sz w:val="28"/>
          <w:szCs w:val="28"/>
        </w:rPr>
        <w:t>。超出学制年限的研究生，不再具备研究生国家奖学金参评资格。</w:t>
      </w:r>
    </w:p>
    <w:p w14:paraId="7195343D">
      <w:pPr>
        <w:tabs>
          <w:tab w:val="left" w:pos="360"/>
        </w:tabs>
        <w:spacing w:line="360" w:lineRule="auto"/>
        <w:ind w:firstLine="560" w:firstLineChars="200"/>
        <w:rPr>
          <w:rFonts w:ascii="仿宋_GB2312" w:hAnsi="黑体" w:eastAsia="仿宋_GB2312" w:cs="宋体"/>
          <w:sz w:val="28"/>
          <w:szCs w:val="28"/>
        </w:rPr>
      </w:pPr>
      <w:r>
        <w:rPr>
          <w:rFonts w:hint="eastAsia" w:ascii="仿宋_GB2312" w:hAnsi="黑体" w:eastAsia="仿宋_GB2312" w:cs="宋体"/>
          <w:sz w:val="28"/>
          <w:szCs w:val="28"/>
        </w:rPr>
        <w:t>第二十条</w:t>
      </w:r>
      <w:r>
        <w:rPr>
          <w:rFonts w:hint="eastAsia" w:ascii="仿宋_GB2312" w:hAnsi="黑体" w:eastAsia="仿宋_GB2312" w:cs="宋体"/>
          <w:sz w:val="28"/>
          <w:szCs w:val="28"/>
          <w:lang w:val="en-US" w:eastAsia="zh-CN"/>
        </w:rPr>
        <w:t xml:space="preserve"> </w:t>
      </w:r>
      <w:r>
        <w:rPr>
          <w:rFonts w:hint="eastAsia" w:ascii="仿宋_GB2312" w:hAnsi="宋体" w:eastAsia="仿宋_GB2312" w:cs="宋体"/>
          <w:sz w:val="28"/>
          <w:szCs w:val="28"/>
        </w:rPr>
        <w:t>在学制年限内，因国家和单位公派出国留学或校际交流在境外学习的研究生，仍具备研究生国家奖学金参评资格；由于因私出国留学、疾病、创业等原因未在校学习的研究生，期间内不具备研究生国家奖学金参评资格。</w:t>
      </w:r>
    </w:p>
    <w:p w14:paraId="0F974FE9">
      <w:pPr>
        <w:spacing w:line="360" w:lineRule="auto"/>
        <w:ind w:firstLine="554" w:firstLineChars="198"/>
        <w:rPr>
          <w:rFonts w:ascii="仿宋_GB2312" w:hAnsi="宋体" w:eastAsia="仿宋_GB2312" w:cs="宋体"/>
          <w:sz w:val="28"/>
          <w:szCs w:val="28"/>
        </w:rPr>
      </w:pPr>
      <w:r>
        <w:rPr>
          <w:rFonts w:hint="eastAsia" w:ascii="仿宋_GB2312" w:hAnsi="黑体" w:eastAsia="仿宋_GB2312" w:cs="宋体"/>
          <w:sz w:val="28"/>
          <w:szCs w:val="28"/>
        </w:rPr>
        <w:t>第二十一条</w:t>
      </w:r>
      <w:r>
        <w:rPr>
          <w:rFonts w:hint="eastAsia" w:ascii="仿宋_GB2312" w:hAnsi="宋体" w:eastAsia="仿宋_GB2312" w:cs="宋体"/>
          <w:sz w:val="28"/>
          <w:szCs w:val="28"/>
        </w:rPr>
        <w:t xml:space="preserve"> 本办法自2017年9月1日起施行，学校原有相关规定与本办法相抵触的，按本办法执行。</w:t>
      </w:r>
    </w:p>
    <w:p w14:paraId="0912CB63">
      <w:pPr>
        <w:spacing w:line="360" w:lineRule="auto"/>
        <w:ind w:firstLine="554" w:firstLineChars="198"/>
        <w:rPr>
          <w:rFonts w:ascii="仿宋_GB2312" w:hAnsi="宋体" w:eastAsia="仿宋_GB2312" w:cs="宋体"/>
          <w:sz w:val="28"/>
          <w:szCs w:val="28"/>
        </w:rPr>
      </w:pPr>
      <w:r>
        <w:rPr>
          <w:rFonts w:hint="eastAsia" w:ascii="仿宋_GB2312" w:hAnsi="黑体" w:eastAsia="仿宋_GB2312" w:cs="宋体"/>
          <w:sz w:val="28"/>
          <w:szCs w:val="28"/>
        </w:rPr>
        <w:t xml:space="preserve">第二十二条 </w:t>
      </w:r>
      <w:r>
        <w:rPr>
          <w:rFonts w:hint="eastAsia" w:ascii="仿宋_GB2312" w:hAnsi="宋体" w:eastAsia="仿宋_GB2312" w:cs="宋体"/>
          <w:sz w:val="28"/>
          <w:szCs w:val="28"/>
        </w:rPr>
        <w:t>本办法由研究生院负责解释。</w:t>
      </w:r>
    </w:p>
    <w:p w14:paraId="1D4F6FB7">
      <w:pPr>
        <w:tabs>
          <w:tab w:val="left" w:pos="360"/>
        </w:tabs>
        <w:spacing w:line="360" w:lineRule="auto"/>
        <w:rPr>
          <w:rFonts w:hint="eastAsia" w:ascii="黑体" w:hAnsi="黑体" w:eastAsia="黑体" w:cs="宋体"/>
          <w:sz w:val="32"/>
          <w:szCs w:val="32"/>
        </w:rPr>
        <w:sectPr>
          <w:pgSz w:w="11906" w:h="16838"/>
          <w:pgMar w:top="1440" w:right="1800" w:bottom="1440" w:left="1980" w:header="851" w:footer="992" w:gutter="0"/>
          <w:cols w:space="720" w:num="1"/>
          <w:docGrid w:type="lines" w:linePitch="312" w:charSpace="0"/>
        </w:sectPr>
      </w:pPr>
    </w:p>
    <w:p w14:paraId="06FCB854">
      <w:pPr>
        <w:tabs>
          <w:tab w:val="left" w:pos="360"/>
        </w:tabs>
        <w:spacing w:line="360" w:lineRule="auto"/>
        <w:rPr>
          <w:rFonts w:ascii="黑体" w:hAnsi="黑体" w:eastAsia="黑体" w:cs="宋体"/>
          <w:sz w:val="32"/>
          <w:szCs w:val="32"/>
        </w:rPr>
      </w:pPr>
      <w:r>
        <w:rPr>
          <w:rFonts w:hint="eastAsia" w:ascii="黑体" w:hAnsi="黑体" w:eastAsia="黑体" w:cs="宋体"/>
          <w:sz w:val="32"/>
          <w:szCs w:val="32"/>
        </w:rPr>
        <w:t>附件</w:t>
      </w:r>
    </w:p>
    <w:p w14:paraId="35DACBF6">
      <w:pPr>
        <w:tabs>
          <w:tab w:val="left" w:pos="360"/>
        </w:tabs>
        <w:spacing w:line="360" w:lineRule="auto"/>
        <w:jc w:val="center"/>
        <w:rPr>
          <w:rFonts w:ascii="黑体" w:hAnsi="宋体" w:eastAsia="黑体" w:cs="宋体"/>
          <w:b/>
          <w:sz w:val="36"/>
          <w:szCs w:val="36"/>
        </w:rPr>
      </w:pPr>
      <w:r>
        <w:rPr>
          <w:rFonts w:hint="eastAsia" w:ascii="黑体" w:hAnsi="宋体" w:eastAsia="黑体" w:cs="宋体"/>
          <w:b/>
          <w:sz w:val="36"/>
          <w:szCs w:val="36"/>
          <w:lang w:eastAsia="zh-CN"/>
        </w:rPr>
        <w:t>文学与新媒体学院</w:t>
      </w:r>
      <w:r>
        <w:rPr>
          <w:rFonts w:hint="eastAsia" w:ascii="黑体" w:hAnsi="宋体" w:eastAsia="黑体" w:cs="宋体"/>
          <w:b/>
          <w:sz w:val="36"/>
          <w:szCs w:val="36"/>
        </w:rPr>
        <w:t>国家奖学金评审内容及分值</w:t>
      </w:r>
    </w:p>
    <w:p w14:paraId="2530483B">
      <w:pPr>
        <w:tabs>
          <w:tab w:val="left" w:pos="360"/>
        </w:tabs>
        <w:spacing w:line="360" w:lineRule="auto"/>
        <w:jc w:val="center"/>
        <w:rPr>
          <w:rFonts w:ascii="黑体" w:hAnsi="ˎ̥" w:eastAsia="黑体" w:cs="宋体"/>
        </w:rPr>
      </w:pPr>
      <w:r>
        <w:rPr>
          <w:rFonts w:hint="eastAsia" w:ascii="黑体" w:hAnsi="宋体" w:eastAsia="黑体" w:cs="宋体"/>
          <w:b/>
          <w:sz w:val="36"/>
          <w:szCs w:val="36"/>
        </w:rPr>
        <w:t>计算办法</w:t>
      </w:r>
    </w:p>
    <w:p w14:paraId="12E6A31D">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一、概述</w:t>
      </w:r>
    </w:p>
    <w:p w14:paraId="0CBA7627">
      <w:pPr>
        <w:spacing w:line="360" w:lineRule="auto"/>
        <w:ind w:firstLine="475" w:firstLineChars="19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《吉首大学研究生国家奖学金评审内容及分值计算办法》是各研究生培养单位</w:t>
      </w:r>
      <w:r>
        <w:rPr>
          <w:rFonts w:hint="eastAsia" w:asciiTheme="minorEastAsia" w:hAnsiTheme="minorEastAsia" w:eastAsiaTheme="minorEastAsia" w:cstheme="minorEastAsia"/>
          <w:sz w:val="24"/>
          <w:szCs w:val="24"/>
          <w:lang w:eastAsia="zh-CN"/>
        </w:rPr>
        <w:t>制定</w:t>
      </w:r>
      <w:r>
        <w:rPr>
          <w:rFonts w:hint="eastAsia" w:asciiTheme="minorEastAsia" w:hAnsiTheme="minorEastAsia" w:eastAsiaTheme="minorEastAsia" w:cstheme="minorEastAsia"/>
          <w:sz w:val="24"/>
          <w:szCs w:val="24"/>
        </w:rPr>
        <w:t>本单位国家奖学金评审细则的依据，各单位可进一步细化，但不得与本办法冲突。</w:t>
      </w:r>
    </w:p>
    <w:p w14:paraId="3FCCA71E">
      <w:pPr>
        <w:spacing w:line="360" w:lineRule="auto"/>
        <w:ind w:firstLine="475" w:firstLineChars="19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评审分值用“S”表示，总分值计算公式为：</w:t>
      </w:r>
    </w:p>
    <w:p w14:paraId="1E3FC778">
      <w:pPr>
        <w:spacing w:line="360" w:lineRule="auto"/>
        <w:ind w:firstLine="475" w:firstLineChars="198"/>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S（总成绩）＝</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课程平均成绩绩点</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A)</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rPr>
        <w:t>＋科学研究（B）</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rPr>
        <w:t>＋学科竞赛和学术活动（C）</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rPr>
        <w:t>＋社会活动（D）</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rPr>
        <w:t>思想政治及综合表现（E）</w:t>
      </w:r>
      <w:r>
        <w:rPr>
          <w:rFonts w:hint="eastAsia" w:asciiTheme="minorEastAsia" w:hAnsiTheme="minorEastAsia" w:eastAsiaTheme="minorEastAsia" w:cstheme="minorEastAsia"/>
          <w:color w:val="auto"/>
          <w:sz w:val="24"/>
          <w:szCs w:val="24"/>
          <w:highlight w:val="none"/>
          <w:lang w:val="en-US" w:eastAsia="zh-CN"/>
        </w:rPr>
        <w:t>-减分项目（F）</w:t>
      </w:r>
    </w:p>
    <w:p w14:paraId="1770D4E0">
      <w:pPr>
        <w:spacing w:line="360" w:lineRule="auto"/>
        <w:ind w:firstLine="477" w:firstLineChars="19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参评条件：</w:t>
      </w:r>
      <w:r>
        <w:rPr>
          <w:rFonts w:hint="eastAsia" w:asciiTheme="minorEastAsia" w:hAnsiTheme="minorEastAsia" w:eastAsiaTheme="minorEastAsia" w:cstheme="minorEastAsia"/>
          <w:color w:val="auto"/>
          <w:sz w:val="24"/>
          <w:szCs w:val="24"/>
        </w:rPr>
        <w:t>学术型研究生须以第一作者发表省级以上（含省级）论文1篇及主持校级以上（含校级）科研课题1项。专业学位硕士研究生须</w:t>
      </w:r>
      <w:r>
        <w:rPr>
          <w:rFonts w:hint="eastAsia" w:asciiTheme="minorEastAsia" w:hAnsiTheme="minorEastAsia" w:eastAsiaTheme="minorEastAsia" w:cstheme="minorEastAsia"/>
          <w:color w:val="auto"/>
          <w:sz w:val="24"/>
          <w:szCs w:val="24"/>
          <w:lang w:val="en-US" w:eastAsia="zh-CN"/>
        </w:rPr>
        <w:t>以第一作者在学科</w:t>
      </w:r>
      <w:r>
        <w:rPr>
          <w:rFonts w:hint="eastAsia" w:asciiTheme="minorEastAsia" w:hAnsiTheme="minorEastAsia" w:eastAsiaTheme="minorEastAsia" w:cstheme="minorEastAsia"/>
          <w:color w:val="auto"/>
          <w:sz w:val="24"/>
          <w:szCs w:val="24"/>
        </w:rPr>
        <w:t>专业竞赛</w:t>
      </w:r>
      <w:r>
        <w:rPr>
          <w:rFonts w:hint="eastAsia" w:asciiTheme="minorEastAsia" w:hAnsiTheme="minorEastAsia" w:eastAsiaTheme="minorEastAsia" w:cstheme="minorEastAsia"/>
          <w:color w:val="auto"/>
          <w:sz w:val="24"/>
          <w:szCs w:val="24"/>
          <w:lang w:val="en-US" w:eastAsia="zh-CN"/>
        </w:rPr>
        <w:t>中获省级及以上奖项（学科竞赛为自身专业A、B类赛事，以吉首大学学科竞赛名单为准）</w:t>
      </w:r>
      <w:r>
        <w:rPr>
          <w:rFonts w:hint="eastAsia" w:asciiTheme="minorEastAsia" w:hAnsiTheme="minorEastAsia" w:eastAsiaTheme="minorEastAsia" w:cstheme="minorEastAsia"/>
          <w:color w:val="auto"/>
          <w:sz w:val="24"/>
          <w:szCs w:val="24"/>
        </w:rPr>
        <w:t>。</w:t>
      </w:r>
      <w:bookmarkStart w:id="0" w:name="_GoBack"/>
      <w:bookmarkEnd w:id="0"/>
    </w:p>
    <w:p w14:paraId="7B1A45D3">
      <w:pPr>
        <w:spacing w:line="360" w:lineRule="auto"/>
        <w:ind w:firstLine="554" w:firstLineChars="198"/>
        <w:rPr>
          <w:rFonts w:hint="eastAsia" w:ascii="仿宋_GB2312" w:hAnsi="宋体" w:eastAsia="仿宋_GB2312" w:cs="宋体"/>
          <w:color w:val="FF0000"/>
          <w:sz w:val="28"/>
          <w:szCs w:val="28"/>
          <w:highlight w:val="none"/>
        </w:rPr>
      </w:pPr>
    </w:p>
    <w:p w14:paraId="42746E93">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二、课程平均成绩绩点（A×30﹪）</w:t>
      </w:r>
    </w:p>
    <w:p w14:paraId="014413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.课程平均成绩绩点</w:t>
      </w:r>
      <w:r>
        <w:rPr>
          <w:rFonts w:hint="eastAsia" w:asciiTheme="minorEastAsia" w:hAnsiTheme="minorEastAsia" w:eastAsiaTheme="minorEastAsia" w:cstheme="minorEastAsia"/>
          <w:color w:val="auto"/>
          <w:sz w:val="24"/>
          <w:szCs w:val="24"/>
        </w:rPr>
        <w:t>为系统绩点，需提供系统导出的带水印版成绩单证明</w:t>
      </w:r>
      <w:r>
        <w:rPr>
          <w:rFonts w:hint="eastAsia" w:asciiTheme="minorEastAsia" w:hAnsiTheme="minorEastAsia" w:eastAsiaTheme="minorEastAsia" w:cstheme="minorEastAsia"/>
          <w:color w:val="auto"/>
          <w:sz w:val="24"/>
          <w:szCs w:val="24"/>
          <w:lang w:eastAsia="zh-CN"/>
        </w:rPr>
        <w:t>。</w:t>
      </w:r>
    </w:p>
    <w:p w14:paraId="790B87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课程学习成绩评定以研究生院学籍入档成绩为准。</w:t>
      </w:r>
    </w:p>
    <w:p w14:paraId="451A52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3.</w:t>
      </w:r>
      <w:r>
        <w:rPr>
          <w:rFonts w:hint="eastAsia" w:asciiTheme="minorEastAsia" w:hAnsiTheme="minorEastAsia" w:eastAsiaTheme="minorEastAsia" w:cstheme="minorEastAsia"/>
          <w:b w:val="0"/>
          <w:bCs w:val="0"/>
          <w:color w:val="auto"/>
          <w:sz w:val="24"/>
          <w:szCs w:val="24"/>
          <w:highlight w:val="none"/>
        </w:rPr>
        <w:t>参评对象的单科课程考试成绩需不低于</w:t>
      </w:r>
      <w:r>
        <w:rPr>
          <w:rFonts w:hint="eastAsia" w:asciiTheme="minorEastAsia" w:hAnsiTheme="minorEastAsia" w:eastAsiaTheme="minorEastAsia" w:cstheme="minorEastAsia"/>
          <w:b w:val="0"/>
          <w:bCs w:val="0"/>
          <w:color w:val="auto"/>
          <w:sz w:val="24"/>
          <w:szCs w:val="24"/>
          <w:highlight w:val="none"/>
          <w:lang w:val="en-US" w:eastAsia="zh-CN"/>
        </w:rPr>
        <w:t>75</w:t>
      </w:r>
      <w:r>
        <w:rPr>
          <w:rFonts w:hint="eastAsia" w:asciiTheme="minorEastAsia" w:hAnsiTheme="minorEastAsia" w:eastAsiaTheme="minorEastAsia" w:cstheme="minorEastAsia"/>
          <w:b w:val="0"/>
          <w:bCs w:val="0"/>
          <w:color w:val="auto"/>
          <w:sz w:val="24"/>
          <w:szCs w:val="24"/>
          <w:highlight w:val="none"/>
        </w:rPr>
        <w:t>分，</w:t>
      </w:r>
      <w:r>
        <w:rPr>
          <w:rFonts w:hint="eastAsia" w:asciiTheme="minorEastAsia" w:hAnsiTheme="minorEastAsia" w:eastAsiaTheme="minorEastAsia" w:cstheme="minorEastAsia"/>
          <w:b w:val="0"/>
          <w:bCs w:val="0"/>
          <w:color w:val="auto"/>
          <w:sz w:val="24"/>
          <w:szCs w:val="24"/>
          <w:highlight w:val="none"/>
          <w:lang w:val="en-US" w:eastAsia="zh-CN"/>
        </w:rPr>
        <w:t>英语免修者可参评。</w:t>
      </w:r>
      <w:r>
        <w:rPr>
          <w:rFonts w:hint="eastAsia" w:asciiTheme="minorEastAsia" w:hAnsiTheme="minorEastAsia" w:eastAsiaTheme="minorEastAsia" w:cstheme="minorEastAsia"/>
          <w:b w:val="0"/>
          <w:bCs w:val="0"/>
          <w:color w:val="auto"/>
          <w:sz w:val="24"/>
          <w:szCs w:val="24"/>
          <w:highlight w:val="none"/>
        </w:rPr>
        <w:t>平均成绩85分以下者，课程有补考重修者，不得参评国家奖学金。</w:t>
      </w:r>
    </w:p>
    <w:p w14:paraId="6B5821E6">
      <w:pPr>
        <w:keepNext w:val="0"/>
        <w:keepLines w:val="0"/>
        <w:pageBreakBefore w:val="0"/>
        <w:numPr>
          <w:ilvl w:val="0"/>
          <w:numId w:val="0"/>
        </w:numPr>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p>
    <w:p w14:paraId="27C8409B">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三、科学研究分（B×25﹪，B＝B1＋B2＋B3）</w:t>
      </w:r>
    </w:p>
    <w:p w14:paraId="7EFFA20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1.专业论文（B1）：</w:t>
      </w:r>
    </w:p>
    <w:tbl>
      <w:tblPr>
        <w:tblStyle w:val="8"/>
        <w:tblW w:w="0" w:type="auto"/>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612"/>
        <w:gridCol w:w="2848"/>
      </w:tblGrid>
      <w:tr w14:paraId="2E1ED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9" w:hRule="atLeast"/>
          <w:tblCellSpacing w:w="0" w:type="dxa"/>
          <w:jc w:val="center"/>
        </w:trPr>
        <w:tc>
          <w:tcPr>
            <w:tcW w:w="4612" w:type="dxa"/>
            <w:vAlign w:val="center"/>
          </w:tcPr>
          <w:p w14:paraId="7BBD3A5E">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auto"/>
                <w:sz w:val="24"/>
                <w:szCs w:val="24"/>
                <w:highlight w:val="none"/>
              </w:rPr>
              <w:t>公开发表刊物类型</w:t>
            </w:r>
          </w:p>
        </w:tc>
        <w:tc>
          <w:tcPr>
            <w:tcW w:w="2848" w:type="dxa"/>
            <w:vAlign w:val="center"/>
          </w:tcPr>
          <w:p w14:paraId="2E09E9FA">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auto"/>
                <w:sz w:val="24"/>
                <w:szCs w:val="24"/>
                <w:highlight w:val="none"/>
              </w:rPr>
              <w:t>得分（篇）</w:t>
            </w:r>
          </w:p>
        </w:tc>
      </w:tr>
      <w:tr w14:paraId="564006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2" w:hRule="atLeast"/>
          <w:tblCellSpacing w:w="0" w:type="dxa"/>
          <w:jc w:val="center"/>
        </w:trPr>
        <w:tc>
          <w:tcPr>
            <w:tcW w:w="4612" w:type="dxa"/>
            <w:vAlign w:val="center"/>
          </w:tcPr>
          <w:p w14:paraId="112D8A43">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CSSCI来源刊、人民日报/光明日报/经济日报的理论版</w:t>
            </w:r>
          </w:p>
        </w:tc>
        <w:tc>
          <w:tcPr>
            <w:tcW w:w="2848" w:type="dxa"/>
            <w:vAlign w:val="center"/>
          </w:tcPr>
          <w:p w14:paraId="00BD5000">
            <w:pPr>
              <w:keepNext w:val="0"/>
              <w:keepLines w:val="0"/>
              <w:pageBreakBefore w:val="0"/>
              <w:kinsoku/>
              <w:overflowPunct/>
              <w:topLinePunct w:val="0"/>
              <w:autoSpaceDE/>
              <w:bidi w:val="0"/>
              <w:adjustRightInd/>
              <w:spacing w:line="360" w:lineRule="exact"/>
              <w:jc w:val="center"/>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80</w:t>
            </w:r>
          </w:p>
        </w:tc>
      </w:tr>
      <w:tr w14:paraId="7BB81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2" w:hRule="atLeast"/>
          <w:tblCellSpacing w:w="0" w:type="dxa"/>
          <w:jc w:val="center"/>
        </w:trPr>
        <w:tc>
          <w:tcPr>
            <w:tcW w:w="4612" w:type="dxa"/>
            <w:vAlign w:val="center"/>
          </w:tcPr>
          <w:p w14:paraId="18528AB8">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CSSCI</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扩展版</w:t>
            </w:r>
          </w:p>
        </w:tc>
        <w:tc>
          <w:tcPr>
            <w:tcW w:w="2848" w:type="dxa"/>
            <w:vAlign w:val="center"/>
          </w:tcPr>
          <w:p w14:paraId="00DD6913">
            <w:pPr>
              <w:keepNext w:val="0"/>
              <w:keepLines w:val="0"/>
              <w:pageBreakBefore w:val="0"/>
              <w:kinsoku/>
              <w:overflowPunct/>
              <w:topLinePunct w:val="0"/>
              <w:autoSpaceDE/>
              <w:bidi w:val="0"/>
              <w:adjustRightInd/>
              <w:spacing w:line="360" w:lineRule="exact"/>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4"/>
                <w:szCs w:val="24"/>
                <w:highlight w:val="none"/>
                <w:lang w:val="en-US" w:eastAsia="zh-CN"/>
              </w:rPr>
              <w:t>60</w:t>
            </w:r>
          </w:p>
        </w:tc>
      </w:tr>
      <w:tr w14:paraId="61AD12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2" w:hRule="atLeast"/>
          <w:tblCellSpacing w:w="0" w:type="dxa"/>
          <w:jc w:val="center"/>
        </w:trPr>
        <w:tc>
          <w:tcPr>
            <w:tcW w:w="4612" w:type="dxa"/>
            <w:vAlign w:val="center"/>
          </w:tcPr>
          <w:p w14:paraId="591FE6C0">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北大中文核心刊物</w:t>
            </w:r>
          </w:p>
        </w:tc>
        <w:tc>
          <w:tcPr>
            <w:tcW w:w="2848" w:type="dxa"/>
            <w:vAlign w:val="center"/>
          </w:tcPr>
          <w:p w14:paraId="3351128C">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sz w:val="24"/>
                <w:szCs w:val="24"/>
                <w:highlight w:val="none"/>
                <w:lang w:val="en-US" w:eastAsia="zh-CN"/>
              </w:rPr>
              <w:t>50</w:t>
            </w:r>
          </w:p>
        </w:tc>
      </w:tr>
      <w:tr w14:paraId="3A0E0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2" w:hRule="atLeast"/>
          <w:tblCellSpacing w:w="0" w:type="dxa"/>
          <w:jc w:val="center"/>
        </w:trPr>
        <w:tc>
          <w:tcPr>
            <w:tcW w:w="4612" w:type="dxa"/>
            <w:vAlign w:val="center"/>
          </w:tcPr>
          <w:p w14:paraId="127BCA0F">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非核心</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大学学报</w:t>
            </w:r>
          </w:p>
        </w:tc>
        <w:tc>
          <w:tcPr>
            <w:tcW w:w="2848" w:type="dxa"/>
            <w:vAlign w:val="center"/>
          </w:tcPr>
          <w:p w14:paraId="11732827">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10</w:t>
            </w:r>
          </w:p>
        </w:tc>
      </w:tr>
      <w:tr w14:paraId="63BF2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9" w:hRule="atLeast"/>
          <w:tblCellSpacing w:w="0" w:type="dxa"/>
          <w:jc w:val="center"/>
        </w:trPr>
        <w:tc>
          <w:tcPr>
            <w:tcW w:w="4612" w:type="dxa"/>
            <w:vAlign w:val="center"/>
          </w:tcPr>
          <w:p w14:paraId="705F571C">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一般省级刊物（上知网）</w:t>
            </w:r>
          </w:p>
        </w:tc>
        <w:tc>
          <w:tcPr>
            <w:tcW w:w="2848" w:type="dxa"/>
            <w:vAlign w:val="center"/>
          </w:tcPr>
          <w:p w14:paraId="4C910E32">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5</w:t>
            </w:r>
          </w:p>
        </w:tc>
      </w:tr>
    </w:tbl>
    <w:p w14:paraId="1D977B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（1）期刊目录参见《吉首大学高质量学术论文认定及期刊分级办法》。</w:t>
      </w:r>
    </w:p>
    <w:p w14:paraId="6D85BE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auto"/>
          <w:kern w:val="0"/>
          <w:sz w:val="24"/>
          <w:szCs w:val="24"/>
          <w:highlight w:val="none"/>
          <w:lang w:val="en-US" w:eastAsia="zh-CN" w:bidi="ar"/>
        </w:rPr>
        <w:t>（2）凡研究生学术论文独著或为第一作者计100%。若与老师合著，研究生为第二作者按50%计分。</w:t>
      </w:r>
      <w:r>
        <w:rPr>
          <w:rFonts w:hint="eastAsia" w:asciiTheme="minorEastAsia" w:hAnsiTheme="minorEastAsia" w:eastAsiaTheme="minorEastAsia" w:cstheme="minorEastAsia"/>
          <w:color w:val="auto"/>
          <w:kern w:val="0"/>
          <w:sz w:val="24"/>
          <w:szCs w:val="24"/>
          <w:highlight w:val="none"/>
          <w:lang w:val="en-US" w:eastAsia="zh-CN" w:bidi="ar"/>
        </w:rPr>
        <w:t>若老师与两位研究生合著，除老师外排名第一的研究生30%计分，排名第二的研究生20%计分。若研究生合著，则第一作者计70%，第二作者计30%，第三作者及以后均不予计分。</w:t>
      </w:r>
    </w:p>
    <w:p w14:paraId="33A4B67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auto"/>
          <w:kern w:val="0"/>
          <w:sz w:val="24"/>
          <w:szCs w:val="24"/>
          <w:highlight w:val="none"/>
          <w:lang w:val="en-US" w:eastAsia="zh-CN" w:bidi="ar"/>
        </w:rPr>
        <w:t>（3）所有发表的科研成果均需提供纸质期刊全文（</w:t>
      </w:r>
      <w:r>
        <w:rPr>
          <w:rFonts w:hint="eastAsia" w:asciiTheme="minorEastAsia" w:hAnsiTheme="minorEastAsia" w:eastAsiaTheme="minorEastAsia" w:cstheme="minorEastAsia"/>
          <w:color w:val="auto"/>
          <w:kern w:val="0"/>
          <w:sz w:val="24"/>
          <w:szCs w:val="24"/>
          <w:highlight w:val="none"/>
          <w:lang w:val="en-US" w:eastAsia="zh-Hans" w:bidi="ar"/>
        </w:rPr>
        <w:t>含封面和目录</w:t>
      </w:r>
      <w:r>
        <w:rPr>
          <w:rFonts w:hint="eastAsia" w:asciiTheme="minorEastAsia" w:hAnsiTheme="minorEastAsia" w:eastAsiaTheme="minorEastAsia" w:cstheme="minorEastAsia"/>
          <w:color w:val="auto"/>
          <w:kern w:val="0"/>
          <w:sz w:val="24"/>
          <w:szCs w:val="24"/>
          <w:highlight w:val="none"/>
          <w:lang w:val="en-US" w:eastAsia="zh-CN" w:bidi="ar"/>
        </w:rPr>
        <w:t>）和知网截图（缺少则不计分），</w:t>
      </w:r>
      <w:r>
        <w:rPr>
          <w:rFonts w:hint="eastAsia" w:asciiTheme="minorEastAsia" w:hAnsiTheme="minorEastAsia" w:eastAsiaTheme="minorEastAsia" w:cstheme="minorEastAsia"/>
          <w:b/>
          <w:bCs/>
          <w:color w:val="auto"/>
          <w:kern w:val="0"/>
          <w:sz w:val="24"/>
          <w:szCs w:val="24"/>
          <w:highlight w:val="none"/>
          <w:lang w:val="en-US" w:eastAsia="zh-CN" w:bidi="ar"/>
        </w:rPr>
        <w:t>录用通知不能作为参评依据</w:t>
      </w:r>
      <w:r>
        <w:rPr>
          <w:rFonts w:hint="eastAsia" w:asciiTheme="minorEastAsia" w:hAnsiTheme="minorEastAsia" w:eastAsiaTheme="minorEastAsia" w:cstheme="minorEastAsia"/>
          <w:color w:val="auto"/>
          <w:kern w:val="0"/>
          <w:sz w:val="24"/>
          <w:szCs w:val="24"/>
          <w:highlight w:val="none"/>
          <w:lang w:val="en-US" w:eastAsia="zh-CN" w:bidi="ar"/>
        </w:rPr>
        <w:t>。同一篇论文被多次转载，</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只能计一次最高分。</w:t>
      </w:r>
    </w:p>
    <w:p w14:paraId="65B973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（4）省级专业论文分值只限报5篇最具代表性的论文，超出的论文不计分（北大核心以上期刊不限篇数）。</w:t>
      </w:r>
    </w:p>
    <w:p w14:paraId="5DB1898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（5）论文发表在CSCD相当于CSSCI期刊；发表在SSCI、SCI期刊一、二区，</w:t>
      </w:r>
      <w:r>
        <w:rPr>
          <w:rFonts w:hint="eastAsia" w:asciiTheme="minorEastAsia" w:hAnsiTheme="minorEastAsia" w:eastAsiaTheme="minorEastAsia" w:cstheme="minorEastAsia"/>
          <w:color w:val="auto"/>
          <w:kern w:val="0"/>
          <w:sz w:val="24"/>
          <w:szCs w:val="24"/>
          <w:highlight w:val="none"/>
          <w:lang w:val="en-US" w:eastAsia="zh-CN" w:bidi="ar"/>
        </w:rPr>
        <w:t>相当于CSSCI来源期刊。发表在SSCI、SCI期刊三区，相当于北大中文核心期刊；四区不计分。</w:t>
      </w:r>
    </w:p>
    <w:p w14:paraId="3E7DFB7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yellow"/>
          <w:lang w:val="en-US" w:eastAsia="zh-CN"/>
        </w:rPr>
      </w:pPr>
      <w:r>
        <w:rPr>
          <w:rFonts w:hint="eastAsia" w:asciiTheme="minorEastAsia" w:hAnsiTheme="minorEastAsia" w:eastAsiaTheme="minorEastAsia" w:cstheme="minorEastAsia"/>
          <w:b/>
          <w:bCs/>
          <w:sz w:val="24"/>
          <w:szCs w:val="24"/>
          <w:lang w:val="en-US" w:eastAsia="zh-CN"/>
        </w:rPr>
        <w:t>2.科研项目（B2)：</w:t>
      </w:r>
    </w:p>
    <w:p w14:paraId="75EC738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科研项目以立项下达文件及结题证书为依据，主持项目不限，参与项目限报</w:t>
      </w:r>
      <w:r>
        <w:rPr>
          <w:rFonts w:hint="eastAsia" w:asciiTheme="minorEastAsia" w:hAnsiTheme="minorEastAsia" w:eastAsiaTheme="minorEastAsia" w:cstheme="minorEastAsia"/>
          <w:color w:val="auto"/>
          <w:kern w:val="0"/>
          <w:sz w:val="24"/>
          <w:szCs w:val="24"/>
          <w:highlight w:val="none"/>
          <w:lang w:val="en-US" w:eastAsia="zh-CN" w:bidi="ar"/>
        </w:rPr>
        <w:t>2项；科研项目不跨校，如非吉首大学项目不计分。</w:t>
      </w:r>
    </w:p>
    <w:p w14:paraId="4BEC7D0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color w:val="FF0000"/>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立项分值：课题立项分在该课题立项当年一次性计算。校级和地区级课题只计项目负责人。省级及省级以上课题立项分由项目负责人和参与人员按比例分配，具体分配比例为：二人的分别为70%、30%；三人的分别为50%、30%、20%；四人的分别为50%、20%、20%、10%；五人的分别为50%、20%、10%、10%、10%，排名在第六名及以后的不计分。</w:t>
      </w:r>
    </w:p>
    <w:p w14:paraId="3B0CBAC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auto"/>
          <w:kern w:val="0"/>
          <w:sz w:val="24"/>
          <w:szCs w:val="24"/>
          <w:highlight w:val="none"/>
          <w:lang w:val="en-US" w:eastAsia="zh-CN" w:bidi="ar"/>
        </w:rPr>
        <w:t>（2）结题分值：课题结题分在该课题结题当年一次性计算。按期结题按100%</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计算，分值由项目组人员按比例分配，校级和地区级课题只计项目负责人，省级及省级以上课题主持人占60%，参加人员平均分配40%。延期一年结题按50%计算，延期二年结题按20%计算，延期结题分由项目负责人单独享受。延期二年以上（不包括二年）结题则取消结题分。</w:t>
      </w:r>
    </w:p>
    <w:p w14:paraId="581B8258">
      <w:pPr>
        <w:keepNext w:val="0"/>
        <w:keepLines w:val="0"/>
        <w:pageBreakBefore w:val="0"/>
        <w:kinsoku/>
        <w:overflowPunct/>
        <w:topLinePunct w:val="0"/>
        <w:autoSpaceDE/>
        <w:bidi w:val="0"/>
        <w:adjustRightInd/>
        <w:spacing w:line="360" w:lineRule="auto"/>
        <w:ind w:firstLine="2954" w:firstLineChars="1226"/>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各类科研项目得分标准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8"/>
        <w:gridCol w:w="1221"/>
        <w:gridCol w:w="1245"/>
      </w:tblGrid>
      <w:tr w14:paraId="41B9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 w:hRule="atLeast"/>
          <w:jc w:val="center"/>
        </w:trPr>
        <w:tc>
          <w:tcPr>
            <w:tcW w:w="6228" w:type="dxa"/>
            <w:tcBorders>
              <w:top w:val="single" w:color="auto" w:sz="4" w:space="0"/>
              <w:left w:val="single" w:color="auto" w:sz="4" w:space="0"/>
              <w:bottom w:val="single" w:color="auto" w:sz="4" w:space="0"/>
              <w:right w:val="single" w:color="auto" w:sz="4" w:space="0"/>
            </w:tcBorders>
            <w:vAlign w:val="center"/>
          </w:tcPr>
          <w:p w14:paraId="75F98144">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项目类别（以《吉首大学科研经费配套管理办法》为准）</w:t>
            </w:r>
          </w:p>
        </w:tc>
        <w:tc>
          <w:tcPr>
            <w:tcW w:w="1221" w:type="dxa"/>
            <w:tcBorders>
              <w:top w:val="single" w:color="auto" w:sz="4" w:space="0"/>
              <w:left w:val="single" w:color="auto" w:sz="4" w:space="0"/>
              <w:bottom w:val="single" w:color="auto" w:sz="4" w:space="0"/>
              <w:right w:val="single" w:color="auto" w:sz="4" w:space="0"/>
            </w:tcBorders>
            <w:vAlign w:val="center"/>
          </w:tcPr>
          <w:p w14:paraId="4D231E07">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立项分值</w:t>
            </w:r>
          </w:p>
        </w:tc>
        <w:tc>
          <w:tcPr>
            <w:tcW w:w="1245" w:type="dxa"/>
            <w:tcBorders>
              <w:top w:val="single" w:color="auto" w:sz="4" w:space="0"/>
              <w:left w:val="single" w:color="auto" w:sz="4" w:space="0"/>
              <w:bottom w:val="single" w:color="auto" w:sz="4" w:space="0"/>
              <w:right w:val="single" w:color="auto" w:sz="4" w:space="0"/>
            </w:tcBorders>
            <w:vAlign w:val="center"/>
          </w:tcPr>
          <w:p w14:paraId="2AE22BC1">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结题分值</w:t>
            </w:r>
          </w:p>
        </w:tc>
      </w:tr>
      <w:tr w14:paraId="12DD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6228" w:type="dxa"/>
            <w:tcBorders>
              <w:top w:val="single" w:color="auto" w:sz="4" w:space="0"/>
              <w:left w:val="single" w:color="auto" w:sz="4" w:space="0"/>
              <w:bottom w:val="single" w:color="auto" w:sz="4" w:space="0"/>
              <w:right w:val="single" w:color="auto" w:sz="4" w:space="0"/>
            </w:tcBorders>
            <w:vAlign w:val="center"/>
          </w:tcPr>
          <w:p w14:paraId="2A92EEC7">
            <w:pPr>
              <w:keepNext w:val="0"/>
              <w:keepLines w:val="0"/>
              <w:pageBreakBefore w:val="0"/>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国家级：国家自科基金项目、国家社科基金项目、国家软科学项目、国家“973”“863”计划</w:t>
            </w:r>
            <w:r>
              <w:rPr>
                <w:rFonts w:hint="eastAsia" w:asciiTheme="minorEastAsia" w:hAnsiTheme="minorEastAsia" w:eastAsiaTheme="minorEastAsia" w:cstheme="minorEastAsia"/>
                <w:sz w:val="24"/>
                <w:szCs w:val="24"/>
                <w:highlight w:val="none"/>
              </w:rPr>
              <w:t>项目</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、国家科技支撑计划、科技基础条件平台建设计划、重大专项、国家教育科学规划项目</w:t>
            </w:r>
          </w:p>
        </w:tc>
        <w:tc>
          <w:tcPr>
            <w:tcW w:w="1221" w:type="dxa"/>
            <w:tcBorders>
              <w:top w:val="single" w:color="auto" w:sz="4" w:space="0"/>
              <w:left w:val="single" w:color="auto" w:sz="4" w:space="0"/>
              <w:bottom w:val="single" w:color="auto" w:sz="4" w:space="0"/>
              <w:right w:val="single" w:color="auto" w:sz="4" w:space="0"/>
            </w:tcBorders>
            <w:vAlign w:val="center"/>
          </w:tcPr>
          <w:p w14:paraId="2412B82F">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分</w:t>
            </w:r>
          </w:p>
        </w:tc>
        <w:tc>
          <w:tcPr>
            <w:tcW w:w="1245" w:type="dxa"/>
            <w:tcBorders>
              <w:top w:val="single" w:color="auto" w:sz="4" w:space="0"/>
              <w:left w:val="single" w:color="auto" w:sz="4" w:space="0"/>
              <w:bottom w:val="single" w:color="auto" w:sz="4" w:space="0"/>
              <w:right w:val="single" w:color="auto" w:sz="4" w:space="0"/>
            </w:tcBorders>
            <w:vAlign w:val="center"/>
          </w:tcPr>
          <w:p w14:paraId="3E4908BC">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30分</w:t>
            </w:r>
          </w:p>
        </w:tc>
      </w:tr>
      <w:tr w14:paraId="2C6D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6228" w:type="dxa"/>
            <w:tcBorders>
              <w:top w:val="single" w:color="auto" w:sz="4" w:space="0"/>
              <w:left w:val="single" w:color="auto" w:sz="4" w:space="0"/>
              <w:bottom w:val="single" w:color="auto" w:sz="4" w:space="0"/>
              <w:right w:val="single" w:color="auto" w:sz="4" w:space="0"/>
            </w:tcBorders>
            <w:vAlign w:val="center"/>
          </w:tcPr>
          <w:p w14:paraId="21BFDFCC">
            <w:pPr>
              <w:keepNext w:val="0"/>
              <w:keepLines w:val="0"/>
              <w:pageBreakBefore w:val="0"/>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省部级：科技部其他项目、国家级项目子课题（以正式下达吉首大学的立项批文和课题申报书为准）、教育部项目、省自科基金项目、省社科基金项目、省社科联项目、省软科学项目、省教育科学规划项目、省教研教改课题、省研究生创新课题等</w:t>
            </w:r>
          </w:p>
        </w:tc>
        <w:tc>
          <w:tcPr>
            <w:tcW w:w="1221" w:type="dxa"/>
            <w:tcBorders>
              <w:top w:val="single" w:color="auto" w:sz="4" w:space="0"/>
              <w:left w:val="single" w:color="auto" w:sz="4" w:space="0"/>
              <w:bottom w:val="single" w:color="auto" w:sz="4" w:space="0"/>
              <w:right w:val="single" w:color="auto" w:sz="4" w:space="0"/>
            </w:tcBorders>
            <w:vAlign w:val="center"/>
          </w:tcPr>
          <w:p w14:paraId="5C3C0266">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10分</w:t>
            </w:r>
          </w:p>
        </w:tc>
        <w:tc>
          <w:tcPr>
            <w:tcW w:w="1245" w:type="dxa"/>
            <w:tcBorders>
              <w:top w:val="single" w:color="auto" w:sz="4" w:space="0"/>
              <w:left w:val="single" w:color="auto" w:sz="4" w:space="0"/>
              <w:bottom w:val="single" w:color="auto" w:sz="4" w:space="0"/>
              <w:right w:val="single" w:color="auto" w:sz="4" w:space="0"/>
            </w:tcBorders>
            <w:vAlign w:val="center"/>
          </w:tcPr>
          <w:p w14:paraId="77472F28">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0分</w:t>
            </w:r>
          </w:p>
        </w:tc>
      </w:tr>
      <w:tr w14:paraId="4180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6228" w:type="dxa"/>
            <w:tcBorders>
              <w:top w:val="single" w:color="auto" w:sz="4" w:space="0"/>
              <w:left w:val="single" w:color="auto" w:sz="4" w:space="0"/>
              <w:bottom w:val="single" w:color="auto" w:sz="4" w:space="0"/>
              <w:right w:val="single" w:color="auto" w:sz="4" w:space="0"/>
            </w:tcBorders>
            <w:vAlign w:val="center"/>
          </w:tcPr>
          <w:p w14:paraId="40FC188E">
            <w:pPr>
              <w:keepNext w:val="0"/>
              <w:keepLines w:val="0"/>
              <w:pageBreakBefore w:val="0"/>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州科技局计划项目、州社科联课题、校级科研课题、教研教改课题</w:t>
            </w:r>
          </w:p>
        </w:tc>
        <w:tc>
          <w:tcPr>
            <w:tcW w:w="1221" w:type="dxa"/>
            <w:tcBorders>
              <w:top w:val="single" w:color="auto" w:sz="4" w:space="0"/>
              <w:left w:val="single" w:color="auto" w:sz="4" w:space="0"/>
              <w:bottom w:val="single" w:color="auto" w:sz="4" w:space="0"/>
              <w:right w:val="single" w:color="auto" w:sz="4" w:space="0"/>
            </w:tcBorders>
            <w:vAlign w:val="center"/>
          </w:tcPr>
          <w:p w14:paraId="7B160120">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5分</w:t>
            </w:r>
          </w:p>
        </w:tc>
        <w:tc>
          <w:tcPr>
            <w:tcW w:w="1245" w:type="dxa"/>
            <w:tcBorders>
              <w:top w:val="single" w:color="auto" w:sz="4" w:space="0"/>
              <w:left w:val="single" w:color="auto" w:sz="4" w:space="0"/>
              <w:bottom w:val="single" w:color="auto" w:sz="4" w:space="0"/>
              <w:right w:val="single" w:color="auto" w:sz="4" w:space="0"/>
            </w:tcBorders>
            <w:vAlign w:val="center"/>
          </w:tcPr>
          <w:p w14:paraId="0BEC566A">
            <w:pPr>
              <w:keepNext w:val="0"/>
              <w:keepLines w:val="0"/>
              <w:pageBreakBefore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分</w:t>
            </w:r>
          </w:p>
        </w:tc>
      </w:tr>
    </w:tbl>
    <w:p w14:paraId="38A353D8">
      <w:pPr>
        <w:keepNext w:val="0"/>
        <w:keepLines w:val="0"/>
        <w:pageBreakBefore w:val="0"/>
        <w:kinsoku/>
        <w:overflowPunct/>
        <w:topLinePunct w:val="0"/>
        <w:autoSpaceDE/>
        <w:bidi w:val="0"/>
        <w:adjustRightInd/>
        <w:spacing w:line="360" w:lineRule="auto"/>
        <w:ind w:firstLine="482"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①作为项目参与者的课题数最多2项，超过2项不计分，可自行选择重要的项目罗列。②提交材料须包括立项公示文件（原件、复印件、网页公示截图均可）、项目申报书参与项目人员排名（参与人员名单院里面会进行统一核实），并以项目申请书参与人员排序为准；只有立项文件，未附带项目参与人员排名表的项目不计分。</w:t>
      </w:r>
    </w:p>
    <w:p w14:paraId="4D16B354">
      <w:pPr>
        <w:keepNext w:val="0"/>
        <w:keepLines w:val="0"/>
        <w:pageBreakBefore w:val="0"/>
        <w:kinsoku/>
        <w:overflowPunct/>
        <w:topLinePunct w:val="0"/>
        <w:autoSpaceDE/>
        <w:bidi w:val="0"/>
        <w:adjustRightIn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7F45A61F">
      <w:pPr>
        <w:keepNext w:val="0"/>
        <w:keepLines w:val="0"/>
        <w:pageBreakBefore w:val="0"/>
        <w:kinsoku/>
        <w:overflowPunct/>
        <w:topLinePunct w:val="0"/>
        <w:autoSpaceDE/>
        <w:bidi w:val="0"/>
        <w:adjustRightIn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．撰写著作、文章（</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B3</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w:t>
      </w:r>
    </w:p>
    <w:tbl>
      <w:tblPr>
        <w:tblStyle w:val="8"/>
        <w:tblW w:w="0" w:type="auto"/>
        <w:tblCellSpacing w:w="0" w:type="dxa"/>
        <w:tblInd w:w="9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557"/>
        <w:gridCol w:w="2418"/>
        <w:gridCol w:w="1878"/>
      </w:tblGrid>
      <w:tr w14:paraId="0D59A0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9" w:hRule="atLeast"/>
          <w:tblCellSpacing w:w="0" w:type="dxa"/>
        </w:trPr>
        <w:tc>
          <w:tcPr>
            <w:tcW w:w="3557" w:type="dxa"/>
            <w:tcBorders>
              <w:top w:val="single" w:color="auto" w:sz="4" w:space="0"/>
              <w:bottom w:val="single" w:color="auto" w:sz="4" w:space="0"/>
              <w:right w:val="single" w:color="auto" w:sz="4" w:space="0"/>
            </w:tcBorders>
            <w:vAlign w:val="center"/>
          </w:tcPr>
          <w:p w14:paraId="1CD5649F">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其它类型</w:t>
            </w:r>
          </w:p>
        </w:tc>
        <w:tc>
          <w:tcPr>
            <w:tcW w:w="2418" w:type="dxa"/>
            <w:tcBorders>
              <w:top w:val="single" w:color="auto" w:sz="4" w:space="0"/>
              <w:left w:val="single" w:color="auto" w:sz="4" w:space="0"/>
              <w:bottom w:val="single" w:color="auto" w:sz="4" w:space="0"/>
              <w:right w:val="single" w:color="auto" w:sz="4" w:space="0"/>
            </w:tcBorders>
            <w:vAlign w:val="center"/>
          </w:tcPr>
          <w:p w14:paraId="3631892A">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得分（分/千字）</w:t>
            </w:r>
          </w:p>
        </w:tc>
        <w:tc>
          <w:tcPr>
            <w:tcW w:w="1878" w:type="dxa"/>
            <w:tcBorders>
              <w:top w:val="single" w:color="auto" w:sz="4" w:space="0"/>
              <w:left w:val="single" w:color="auto" w:sz="4" w:space="0"/>
              <w:bottom w:val="single" w:color="auto" w:sz="4" w:space="0"/>
              <w:right w:val="single" w:color="auto" w:sz="4" w:space="0"/>
            </w:tcBorders>
            <w:vAlign w:val="center"/>
          </w:tcPr>
          <w:p w14:paraId="6976795A">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单项</w:t>
            </w:r>
            <w:r>
              <w:rPr>
                <w:rFonts w:hint="eastAsia" w:asciiTheme="minorEastAsia" w:hAnsiTheme="minorEastAsia" w:eastAsiaTheme="minorEastAsia" w:cstheme="minorEastAsia"/>
                <w:color w:val="auto"/>
                <w:sz w:val="24"/>
                <w:szCs w:val="24"/>
                <w:highlight w:val="none"/>
                <w:lang w:val="en-US" w:eastAsia="zh-CN"/>
              </w:rPr>
              <w:t>最高</w:t>
            </w:r>
            <w:r>
              <w:rPr>
                <w:rFonts w:hint="eastAsia" w:asciiTheme="minorEastAsia" w:hAnsiTheme="minorEastAsia" w:eastAsiaTheme="minorEastAsia" w:cstheme="minorEastAsia"/>
                <w:color w:val="auto"/>
                <w:sz w:val="24"/>
                <w:szCs w:val="24"/>
                <w:highlight w:val="none"/>
              </w:rPr>
              <w:t>限分</w:t>
            </w:r>
          </w:p>
        </w:tc>
      </w:tr>
      <w:tr w14:paraId="538A73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9"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34B7F234">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国家级</w:t>
            </w:r>
            <w:r>
              <w:rPr>
                <w:rFonts w:hint="eastAsia" w:asciiTheme="minorEastAsia" w:hAnsiTheme="minorEastAsia" w:eastAsiaTheme="minorEastAsia" w:cstheme="minorEastAsia"/>
                <w:color w:val="auto"/>
                <w:sz w:val="24"/>
                <w:szCs w:val="24"/>
                <w:highlight w:val="none"/>
              </w:rPr>
              <w:t>报刊</w:t>
            </w:r>
          </w:p>
        </w:tc>
        <w:tc>
          <w:tcPr>
            <w:tcW w:w="2418" w:type="dxa"/>
            <w:tcBorders>
              <w:top w:val="single" w:color="auto" w:sz="4" w:space="0"/>
              <w:left w:val="single" w:color="auto" w:sz="4" w:space="0"/>
              <w:bottom w:val="single" w:color="auto" w:sz="4" w:space="0"/>
              <w:right w:val="single" w:color="auto" w:sz="4" w:space="0"/>
            </w:tcBorders>
            <w:vAlign w:val="center"/>
          </w:tcPr>
          <w:p w14:paraId="3BD5B041">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0.5</w:t>
            </w:r>
          </w:p>
        </w:tc>
        <w:tc>
          <w:tcPr>
            <w:tcW w:w="1878" w:type="dxa"/>
            <w:tcBorders>
              <w:top w:val="single" w:color="auto" w:sz="4" w:space="0"/>
              <w:left w:val="single" w:color="auto" w:sz="4" w:space="0"/>
              <w:bottom w:val="single" w:color="auto" w:sz="4" w:space="0"/>
              <w:right w:val="single" w:color="auto" w:sz="4" w:space="0"/>
            </w:tcBorders>
            <w:vAlign w:val="center"/>
          </w:tcPr>
          <w:p w14:paraId="1542BBE3">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.0</w:t>
            </w:r>
          </w:p>
        </w:tc>
      </w:tr>
      <w:tr w14:paraId="19A31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9"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13D20800">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个人专著</w:t>
            </w:r>
          </w:p>
        </w:tc>
        <w:tc>
          <w:tcPr>
            <w:tcW w:w="2418" w:type="dxa"/>
            <w:tcBorders>
              <w:top w:val="single" w:color="auto" w:sz="4" w:space="0"/>
              <w:left w:val="single" w:color="auto" w:sz="4" w:space="0"/>
              <w:bottom w:val="single" w:color="auto" w:sz="4" w:space="0"/>
              <w:right w:val="single" w:color="auto" w:sz="4" w:space="0"/>
            </w:tcBorders>
            <w:vAlign w:val="center"/>
          </w:tcPr>
          <w:p w14:paraId="0CB0CC90">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0.5</w:t>
            </w:r>
          </w:p>
        </w:tc>
        <w:tc>
          <w:tcPr>
            <w:tcW w:w="1878" w:type="dxa"/>
            <w:tcBorders>
              <w:top w:val="single" w:color="auto" w:sz="4" w:space="0"/>
              <w:left w:val="single" w:color="auto" w:sz="4" w:space="0"/>
              <w:bottom w:val="single" w:color="auto" w:sz="4" w:space="0"/>
              <w:right w:val="single" w:color="auto" w:sz="4" w:space="0"/>
            </w:tcBorders>
            <w:vAlign w:val="center"/>
          </w:tcPr>
          <w:p w14:paraId="0A7D651F">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15.0</w:t>
            </w:r>
          </w:p>
        </w:tc>
      </w:tr>
      <w:tr w14:paraId="334663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3B4C8EFD">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教育部统编教材</w:t>
            </w:r>
          </w:p>
        </w:tc>
        <w:tc>
          <w:tcPr>
            <w:tcW w:w="2418" w:type="dxa"/>
            <w:tcBorders>
              <w:top w:val="single" w:color="auto" w:sz="4" w:space="0"/>
              <w:left w:val="single" w:color="auto" w:sz="4" w:space="0"/>
              <w:bottom w:val="single" w:color="auto" w:sz="4" w:space="0"/>
              <w:right w:val="single" w:color="auto" w:sz="4" w:space="0"/>
            </w:tcBorders>
            <w:vAlign w:val="center"/>
          </w:tcPr>
          <w:p w14:paraId="2F5E7755">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0.5</w:t>
            </w:r>
          </w:p>
        </w:tc>
        <w:tc>
          <w:tcPr>
            <w:tcW w:w="1878" w:type="dxa"/>
            <w:tcBorders>
              <w:top w:val="single" w:color="auto" w:sz="4" w:space="0"/>
              <w:left w:val="single" w:color="auto" w:sz="4" w:space="0"/>
              <w:bottom w:val="single" w:color="auto" w:sz="4" w:space="0"/>
              <w:right w:val="single" w:color="auto" w:sz="4" w:space="0"/>
            </w:tcBorders>
            <w:vAlign w:val="center"/>
          </w:tcPr>
          <w:p w14:paraId="56D9A152">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10.0</w:t>
            </w:r>
          </w:p>
        </w:tc>
      </w:tr>
      <w:tr w14:paraId="7C70F0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4"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62743FEC">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湖南省教委统编教材</w:t>
            </w:r>
          </w:p>
        </w:tc>
        <w:tc>
          <w:tcPr>
            <w:tcW w:w="2418" w:type="dxa"/>
            <w:tcBorders>
              <w:top w:val="single" w:color="auto" w:sz="4" w:space="0"/>
              <w:left w:val="single" w:color="auto" w:sz="4" w:space="0"/>
              <w:bottom w:val="single" w:color="auto" w:sz="4" w:space="0"/>
              <w:right w:val="single" w:color="auto" w:sz="4" w:space="0"/>
            </w:tcBorders>
            <w:vAlign w:val="center"/>
          </w:tcPr>
          <w:p w14:paraId="0E757B28">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0.4</w:t>
            </w:r>
          </w:p>
        </w:tc>
        <w:tc>
          <w:tcPr>
            <w:tcW w:w="1878" w:type="dxa"/>
            <w:tcBorders>
              <w:top w:val="single" w:color="auto" w:sz="4" w:space="0"/>
              <w:left w:val="single" w:color="auto" w:sz="4" w:space="0"/>
              <w:bottom w:val="single" w:color="auto" w:sz="4" w:space="0"/>
              <w:right w:val="single" w:color="auto" w:sz="4" w:space="0"/>
            </w:tcBorders>
            <w:vAlign w:val="center"/>
          </w:tcPr>
          <w:p w14:paraId="3376CC45">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10.0</w:t>
            </w:r>
          </w:p>
        </w:tc>
      </w:tr>
      <w:tr w14:paraId="1FDC16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4"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366F3013">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一般教材</w:t>
            </w:r>
          </w:p>
        </w:tc>
        <w:tc>
          <w:tcPr>
            <w:tcW w:w="2418" w:type="dxa"/>
            <w:tcBorders>
              <w:top w:val="single" w:color="auto" w:sz="4" w:space="0"/>
              <w:left w:val="single" w:color="auto" w:sz="4" w:space="0"/>
              <w:bottom w:val="single" w:color="auto" w:sz="4" w:space="0"/>
              <w:right w:val="single" w:color="auto" w:sz="4" w:space="0"/>
            </w:tcBorders>
            <w:vAlign w:val="center"/>
          </w:tcPr>
          <w:p w14:paraId="34D71EAB">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0.2</w:t>
            </w:r>
          </w:p>
        </w:tc>
        <w:tc>
          <w:tcPr>
            <w:tcW w:w="1878" w:type="dxa"/>
            <w:tcBorders>
              <w:top w:val="single" w:color="auto" w:sz="4" w:space="0"/>
              <w:left w:val="single" w:color="auto" w:sz="4" w:space="0"/>
              <w:bottom w:val="single" w:color="auto" w:sz="4" w:space="0"/>
              <w:right w:val="single" w:color="auto" w:sz="4" w:space="0"/>
            </w:tcBorders>
            <w:vAlign w:val="center"/>
          </w:tcPr>
          <w:p w14:paraId="1C30BEF7">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10.0</w:t>
            </w:r>
          </w:p>
        </w:tc>
      </w:tr>
      <w:tr w14:paraId="03AFA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4"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099839B8">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译著</w:t>
            </w:r>
          </w:p>
        </w:tc>
        <w:tc>
          <w:tcPr>
            <w:tcW w:w="2418" w:type="dxa"/>
            <w:tcBorders>
              <w:top w:val="single" w:color="auto" w:sz="4" w:space="0"/>
              <w:left w:val="single" w:color="auto" w:sz="4" w:space="0"/>
              <w:bottom w:val="single" w:color="auto" w:sz="4" w:space="0"/>
              <w:right w:val="single" w:color="auto" w:sz="4" w:space="0"/>
            </w:tcBorders>
            <w:vAlign w:val="center"/>
          </w:tcPr>
          <w:p w14:paraId="726D49E5">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0.3</w:t>
            </w:r>
          </w:p>
        </w:tc>
        <w:tc>
          <w:tcPr>
            <w:tcW w:w="1878" w:type="dxa"/>
            <w:tcBorders>
              <w:top w:val="single" w:color="auto" w:sz="4" w:space="0"/>
              <w:left w:val="single" w:color="auto" w:sz="4" w:space="0"/>
              <w:bottom w:val="single" w:color="auto" w:sz="4" w:space="0"/>
              <w:right w:val="single" w:color="auto" w:sz="4" w:space="0"/>
            </w:tcBorders>
            <w:vAlign w:val="center"/>
          </w:tcPr>
          <w:p w14:paraId="4101EBFC">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10.0</w:t>
            </w:r>
          </w:p>
        </w:tc>
      </w:tr>
      <w:tr w14:paraId="08F0B3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atLeast"/>
          <w:tblCellSpacing w:w="0" w:type="dxa"/>
        </w:trPr>
        <w:tc>
          <w:tcPr>
            <w:tcW w:w="3557" w:type="dxa"/>
            <w:tcBorders>
              <w:top w:val="single" w:color="auto" w:sz="4" w:space="0"/>
              <w:left w:val="single" w:color="auto" w:sz="4" w:space="0"/>
              <w:bottom w:val="single" w:color="auto" w:sz="4" w:space="0"/>
              <w:right w:val="single" w:color="auto" w:sz="4" w:space="0"/>
            </w:tcBorders>
            <w:vAlign w:val="center"/>
          </w:tcPr>
          <w:p w14:paraId="5CDA174F">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其他</w:t>
            </w:r>
            <w:r>
              <w:rPr>
                <w:rFonts w:hint="eastAsia" w:asciiTheme="minorEastAsia" w:hAnsiTheme="minorEastAsia" w:eastAsiaTheme="minorEastAsia" w:cstheme="minorEastAsia"/>
                <w:color w:val="000000" w:themeColor="text1"/>
                <w:sz w:val="24"/>
                <w:szCs w:val="24"/>
                <w:highlight w:val="none"/>
                <w:lang w:val="en-US" w:eastAsia="zh-Hans"/>
                <w14:textFill>
                  <w14:solidFill>
                    <w14:schemeClr w14:val="tx1"/>
                  </w14:solidFill>
                </w14:textFill>
              </w:rPr>
              <w:t>刊物</w:t>
            </w:r>
          </w:p>
        </w:tc>
        <w:tc>
          <w:tcPr>
            <w:tcW w:w="2418" w:type="dxa"/>
            <w:tcBorders>
              <w:top w:val="single" w:color="auto" w:sz="4" w:space="0"/>
              <w:left w:val="single" w:color="auto" w:sz="4" w:space="0"/>
              <w:bottom w:val="single" w:color="auto" w:sz="4" w:space="0"/>
              <w:right w:val="single" w:color="auto" w:sz="4" w:space="0"/>
            </w:tcBorders>
            <w:vAlign w:val="center"/>
          </w:tcPr>
          <w:p w14:paraId="735C9BD5">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0.2</w:t>
            </w:r>
          </w:p>
        </w:tc>
        <w:tc>
          <w:tcPr>
            <w:tcW w:w="1878" w:type="dxa"/>
            <w:tcBorders>
              <w:top w:val="single" w:color="auto" w:sz="4" w:space="0"/>
              <w:left w:val="single" w:color="auto" w:sz="4" w:space="0"/>
              <w:bottom w:val="single" w:color="auto" w:sz="4" w:space="0"/>
              <w:right w:val="single" w:color="auto" w:sz="4" w:space="0"/>
            </w:tcBorders>
            <w:vAlign w:val="center"/>
          </w:tcPr>
          <w:p w14:paraId="7D65C570">
            <w:pPr>
              <w:keepNext w:val="0"/>
              <w:keepLines w:val="0"/>
              <w:pageBreakBefore w:val="0"/>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5.0</w:t>
            </w:r>
          </w:p>
        </w:tc>
      </w:tr>
    </w:tbl>
    <w:p w14:paraId="1075E1D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上限分值为20分</w:t>
      </w: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2.专著指本人独著的本专业学术著作，每部专著按最高限分</w:t>
      </w:r>
      <w:r>
        <w:rPr>
          <w:rFonts w:hint="eastAsia" w:asciiTheme="minorEastAsia" w:hAnsiTheme="minorEastAsia" w:eastAsiaTheme="minorEastAsia" w:cstheme="minorEastAsia"/>
          <w:color w:val="auto"/>
          <w:sz w:val="24"/>
          <w:szCs w:val="24"/>
          <w:highlight w:val="none"/>
          <w:lang w:val="en-US" w:eastAsia="zh-CN"/>
        </w:rPr>
        <w:t>15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分计算，非学术专著则按照其他读物加分；参与教师主编的著作可参考教材类加分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3.撰写散文、诗歌或其他读物发表于重要杂志或重要</w:t>
      </w:r>
      <w:r>
        <w:rPr>
          <w:rFonts w:hint="eastAsia" w:asciiTheme="minorEastAsia" w:hAnsiTheme="minorEastAsia" w:eastAsiaTheme="minorEastAsia" w:cstheme="minorEastAsia"/>
          <w:color w:val="auto"/>
          <w:sz w:val="24"/>
          <w:szCs w:val="24"/>
          <w:highlight w:val="none"/>
        </w:rPr>
        <w:t>报刊</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指的是国家级的平台</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，以篇数计算</w:t>
      </w:r>
      <w:r>
        <w:rPr>
          <w:rFonts w:hint="eastAsia" w:asciiTheme="minorEastAsia" w:hAnsiTheme="minorEastAsia" w:eastAsiaTheme="minorEastAsia" w:cstheme="minorEastAsia"/>
          <w:color w:val="auto"/>
          <w:sz w:val="24"/>
          <w:szCs w:val="24"/>
          <w:highlight w:val="none"/>
          <w:lang w:eastAsia="zh-CN"/>
        </w:rPr>
        <w:t>，每篇</w:t>
      </w:r>
      <w:r>
        <w:rPr>
          <w:rFonts w:hint="eastAsia" w:asciiTheme="minorEastAsia" w:hAnsiTheme="minorEastAsia" w:eastAsiaTheme="minorEastAsia" w:cstheme="minorEastAsia"/>
          <w:color w:val="auto"/>
          <w:sz w:val="24"/>
          <w:szCs w:val="24"/>
          <w:highlight w:val="none"/>
          <w:lang w:val="en-US" w:eastAsia="zh-CN"/>
        </w:rPr>
        <w:t>2分</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其他刊物指的是除了国家级以外的平台，如新湖南、红网、红辣椒评论等省级媒体。5.国家级报刊指的是国家级平台，如人民日报、新华社、光明日报、中国社会科学报等。6.需提供全文和字数证明，否则不计分。</w:t>
      </w:r>
    </w:p>
    <w:p w14:paraId="0F6610A1">
      <w:pPr>
        <w:keepNext w:val="0"/>
        <w:keepLines w:val="0"/>
        <w:pageBreakBefore w:val="0"/>
        <w:kinsoku/>
        <w:overflowPunct/>
        <w:topLinePunct w:val="0"/>
        <w:autoSpaceDE/>
        <w:bidi w:val="0"/>
        <w:adjustRightInd/>
        <w:spacing w:line="360" w:lineRule="auto"/>
        <w:ind w:firstLine="45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56202DEB">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四、学科竞赛和学术活动分（C×25﹪，C＝C1＋C2，总分不超过25分，超过25分按25分计算）</w:t>
      </w:r>
    </w:p>
    <w:p w14:paraId="20B857B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1.学科竞赛（C1）</w:t>
      </w:r>
    </w:p>
    <w:p w14:paraId="20D5B4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（1）参加“挑战杯”课外科技作品比赛、互联网+比赛</w:t>
      </w:r>
      <w:r>
        <w:rPr>
          <w:rFonts w:hint="eastAsia" w:asciiTheme="minorEastAsia" w:hAnsiTheme="minorEastAsia" w:eastAsiaTheme="minorEastAsia" w:cstheme="minorEastAsia"/>
          <w:color w:val="auto"/>
          <w:kern w:val="0"/>
          <w:sz w:val="24"/>
          <w:szCs w:val="24"/>
          <w:highlight w:val="none"/>
          <w:lang w:val="en-US" w:eastAsia="zh-CN" w:bidi="ar"/>
        </w:rPr>
        <w:t>、金种子比赛</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，计分方法如下：</w:t>
      </w:r>
    </w:p>
    <w:p w14:paraId="22F30A5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0" w:firstLineChars="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“挑战杯”课外科技作品比赛、互联网+比赛、金种子比赛</w:t>
      </w:r>
      <w:r>
        <w:rPr>
          <w:rFonts w:hint="eastAsia" w:asciiTheme="minorEastAsia" w:hAnsiTheme="minorEastAsia" w:eastAsiaTheme="minorEastAsia" w:cstheme="minorEastAsia"/>
          <w:b/>
          <w:bCs/>
          <w:color w:val="auto"/>
          <w:sz w:val="24"/>
          <w:szCs w:val="24"/>
          <w:highlight w:val="none"/>
        </w:rPr>
        <w:t>奖项分值</w:t>
      </w:r>
    </w:p>
    <w:tbl>
      <w:tblPr>
        <w:tblStyle w:val="8"/>
        <w:tblW w:w="8321" w:type="dxa"/>
        <w:jc w:val="center"/>
        <w:tblCellSpacing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2"/>
        <w:gridCol w:w="2335"/>
        <w:gridCol w:w="1977"/>
        <w:gridCol w:w="2197"/>
      </w:tblGrid>
      <w:tr w14:paraId="09AFC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39633687">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获奖级别</w:t>
            </w:r>
          </w:p>
        </w:tc>
        <w:tc>
          <w:tcPr>
            <w:tcW w:w="2335" w:type="dxa"/>
            <w:tcBorders>
              <w:top w:val="single" w:color="000000" w:sz="6" w:space="0"/>
              <w:left w:val="single" w:color="000000" w:sz="6" w:space="0"/>
              <w:bottom w:val="single" w:color="000000" w:sz="6" w:space="0"/>
              <w:right w:val="single" w:color="000000" w:sz="6" w:space="0"/>
            </w:tcBorders>
            <w:vAlign w:val="center"/>
          </w:tcPr>
          <w:p w14:paraId="41AD1B79">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国家级</w:t>
            </w:r>
          </w:p>
        </w:tc>
        <w:tc>
          <w:tcPr>
            <w:tcW w:w="1977" w:type="dxa"/>
            <w:tcBorders>
              <w:top w:val="single" w:color="000000" w:sz="6" w:space="0"/>
              <w:left w:val="single" w:color="000000" w:sz="6" w:space="0"/>
              <w:bottom w:val="single" w:color="000000" w:sz="6" w:space="0"/>
              <w:right w:val="single" w:color="000000" w:sz="6" w:space="0"/>
            </w:tcBorders>
            <w:vAlign w:val="center"/>
          </w:tcPr>
          <w:p w14:paraId="52D56299">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省、部级</w:t>
            </w:r>
          </w:p>
        </w:tc>
        <w:tc>
          <w:tcPr>
            <w:tcW w:w="2197" w:type="dxa"/>
            <w:tcBorders>
              <w:top w:val="single" w:color="000000" w:sz="6" w:space="0"/>
              <w:left w:val="single" w:color="000000" w:sz="6" w:space="0"/>
              <w:bottom w:val="single" w:color="000000" w:sz="6" w:space="0"/>
              <w:right w:val="single" w:color="000000" w:sz="6" w:space="0"/>
            </w:tcBorders>
            <w:vAlign w:val="center"/>
          </w:tcPr>
          <w:p w14:paraId="0C8FBF31">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州、校级</w:t>
            </w:r>
          </w:p>
        </w:tc>
      </w:tr>
      <w:tr w14:paraId="458B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66A0071B">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特等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2E1E55B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0</w:t>
            </w:r>
          </w:p>
        </w:tc>
        <w:tc>
          <w:tcPr>
            <w:tcW w:w="1977" w:type="dxa"/>
            <w:tcBorders>
              <w:top w:val="single" w:color="000000" w:sz="6" w:space="0"/>
              <w:left w:val="single" w:color="000000" w:sz="6" w:space="0"/>
              <w:bottom w:val="single" w:color="000000" w:sz="6" w:space="0"/>
              <w:right w:val="single" w:color="000000" w:sz="6" w:space="0"/>
            </w:tcBorders>
            <w:vAlign w:val="center"/>
          </w:tcPr>
          <w:p w14:paraId="07C4F902">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2197" w:type="dxa"/>
            <w:tcBorders>
              <w:top w:val="single" w:color="000000" w:sz="6" w:space="0"/>
              <w:left w:val="single" w:color="000000" w:sz="6" w:space="0"/>
              <w:bottom w:val="single" w:color="000000" w:sz="6" w:space="0"/>
              <w:right w:val="single" w:color="000000" w:sz="6" w:space="0"/>
            </w:tcBorders>
            <w:vAlign w:val="center"/>
          </w:tcPr>
          <w:p w14:paraId="21394366">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r>
      <w:tr w14:paraId="1A4E6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2FD73512">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74416649">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60</w:t>
            </w:r>
          </w:p>
        </w:tc>
        <w:tc>
          <w:tcPr>
            <w:tcW w:w="1977" w:type="dxa"/>
            <w:tcBorders>
              <w:top w:val="single" w:color="000000" w:sz="6" w:space="0"/>
              <w:left w:val="single" w:color="000000" w:sz="6" w:space="0"/>
              <w:bottom w:val="single" w:color="000000" w:sz="6" w:space="0"/>
              <w:right w:val="single" w:color="000000" w:sz="6" w:space="0"/>
            </w:tcBorders>
            <w:vAlign w:val="center"/>
          </w:tcPr>
          <w:p w14:paraId="2AF566C3">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40</w:t>
            </w:r>
          </w:p>
        </w:tc>
        <w:tc>
          <w:tcPr>
            <w:tcW w:w="2197" w:type="dxa"/>
            <w:tcBorders>
              <w:top w:val="single" w:color="000000" w:sz="6" w:space="0"/>
              <w:left w:val="single" w:color="000000" w:sz="6" w:space="0"/>
              <w:bottom w:val="single" w:color="000000" w:sz="6" w:space="0"/>
              <w:right w:val="single" w:color="000000" w:sz="6" w:space="0"/>
            </w:tcBorders>
            <w:vAlign w:val="center"/>
          </w:tcPr>
          <w:p w14:paraId="43EB28B2">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15</w:t>
            </w:r>
          </w:p>
        </w:tc>
      </w:tr>
      <w:tr w14:paraId="7DA68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382EC515">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二等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4EE58FAE">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0</w:t>
            </w:r>
          </w:p>
        </w:tc>
        <w:tc>
          <w:tcPr>
            <w:tcW w:w="1977" w:type="dxa"/>
            <w:tcBorders>
              <w:top w:val="single" w:color="000000" w:sz="6" w:space="0"/>
              <w:left w:val="single" w:color="000000" w:sz="6" w:space="0"/>
              <w:bottom w:val="single" w:color="000000" w:sz="6" w:space="0"/>
              <w:right w:val="single" w:color="000000" w:sz="6" w:space="0"/>
            </w:tcBorders>
            <w:vAlign w:val="center"/>
          </w:tcPr>
          <w:p w14:paraId="2961827B">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30</w:t>
            </w:r>
          </w:p>
        </w:tc>
        <w:tc>
          <w:tcPr>
            <w:tcW w:w="2197" w:type="dxa"/>
            <w:tcBorders>
              <w:top w:val="single" w:color="000000" w:sz="6" w:space="0"/>
              <w:left w:val="single" w:color="000000" w:sz="6" w:space="0"/>
              <w:bottom w:val="single" w:color="000000" w:sz="6" w:space="0"/>
              <w:right w:val="single" w:color="000000" w:sz="6" w:space="0"/>
            </w:tcBorders>
            <w:vAlign w:val="center"/>
          </w:tcPr>
          <w:p w14:paraId="22FD82CB">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10</w:t>
            </w:r>
          </w:p>
        </w:tc>
      </w:tr>
      <w:tr w14:paraId="74EAA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0EED218E">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三等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7E575930">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0</w:t>
            </w:r>
          </w:p>
        </w:tc>
        <w:tc>
          <w:tcPr>
            <w:tcW w:w="1977" w:type="dxa"/>
            <w:tcBorders>
              <w:top w:val="single" w:color="000000" w:sz="6" w:space="0"/>
              <w:left w:val="single" w:color="000000" w:sz="6" w:space="0"/>
              <w:bottom w:val="single" w:color="000000" w:sz="6" w:space="0"/>
              <w:right w:val="single" w:color="000000" w:sz="6" w:space="0"/>
            </w:tcBorders>
            <w:vAlign w:val="center"/>
          </w:tcPr>
          <w:p w14:paraId="224CE343">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0</w:t>
            </w:r>
          </w:p>
        </w:tc>
        <w:tc>
          <w:tcPr>
            <w:tcW w:w="2197" w:type="dxa"/>
            <w:tcBorders>
              <w:top w:val="single" w:color="000000" w:sz="6" w:space="0"/>
              <w:left w:val="single" w:color="000000" w:sz="6" w:space="0"/>
              <w:bottom w:val="single" w:color="000000" w:sz="6" w:space="0"/>
              <w:right w:val="single" w:color="000000" w:sz="6" w:space="0"/>
            </w:tcBorders>
            <w:vAlign w:val="center"/>
          </w:tcPr>
          <w:p w14:paraId="0EDCAA3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8</w:t>
            </w:r>
          </w:p>
        </w:tc>
      </w:tr>
      <w:tr w14:paraId="6814E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4431C741">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四等或优秀</w:t>
            </w:r>
          </w:p>
        </w:tc>
        <w:tc>
          <w:tcPr>
            <w:tcW w:w="2335" w:type="dxa"/>
            <w:tcBorders>
              <w:top w:val="single" w:color="000000" w:sz="6" w:space="0"/>
              <w:left w:val="single" w:color="000000" w:sz="6" w:space="0"/>
              <w:bottom w:val="single" w:color="000000" w:sz="6" w:space="0"/>
              <w:right w:val="single" w:color="000000" w:sz="6" w:space="0"/>
            </w:tcBorders>
            <w:vAlign w:val="center"/>
          </w:tcPr>
          <w:p w14:paraId="40E86883">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p>
        </w:tc>
        <w:tc>
          <w:tcPr>
            <w:tcW w:w="1977" w:type="dxa"/>
            <w:tcBorders>
              <w:top w:val="single" w:color="000000" w:sz="6" w:space="0"/>
              <w:left w:val="single" w:color="000000" w:sz="6" w:space="0"/>
              <w:bottom w:val="single" w:color="000000" w:sz="6" w:space="0"/>
              <w:right w:val="single" w:color="000000" w:sz="6" w:space="0"/>
            </w:tcBorders>
            <w:vAlign w:val="center"/>
          </w:tcPr>
          <w:p w14:paraId="7D8F94F6">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p>
        </w:tc>
        <w:tc>
          <w:tcPr>
            <w:tcW w:w="2197" w:type="dxa"/>
            <w:tcBorders>
              <w:top w:val="single" w:color="000000" w:sz="6" w:space="0"/>
              <w:left w:val="single" w:color="000000" w:sz="6" w:space="0"/>
              <w:bottom w:val="single" w:color="000000" w:sz="6" w:space="0"/>
              <w:right w:val="single" w:color="000000" w:sz="6" w:space="0"/>
            </w:tcBorders>
            <w:vAlign w:val="center"/>
          </w:tcPr>
          <w:p w14:paraId="047B9D0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5</w:t>
            </w:r>
          </w:p>
        </w:tc>
      </w:tr>
    </w:tbl>
    <w:p w14:paraId="7783BCA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（2）</w:t>
      </w:r>
      <w:r>
        <w:rPr>
          <w:rFonts w:hint="eastAsia" w:asciiTheme="minorEastAsia" w:hAnsiTheme="minorEastAsia" w:eastAsiaTheme="minorEastAsia" w:cstheme="minorEastAsia"/>
          <w:color w:val="auto"/>
          <w:kern w:val="0"/>
          <w:sz w:val="24"/>
          <w:szCs w:val="24"/>
          <w:highlight w:val="none"/>
          <w:lang w:val="en-US" w:eastAsia="zh-CN" w:bidi="ar"/>
        </w:rPr>
        <w:t>参加学科专业学术性比赛按《吉首大学研究生奖助资金管理办法》加分。专业竞赛奖项只限报</w:t>
      </w:r>
      <w:r>
        <w:rPr>
          <w:rFonts w:hint="eastAsia" w:asciiTheme="minorEastAsia" w:hAnsiTheme="minorEastAsia" w:eastAsiaTheme="minorEastAsia" w:cstheme="minorEastAsia"/>
          <w:b/>
          <w:bCs/>
          <w:color w:val="auto"/>
          <w:kern w:val="0"/>
          <w:sz w:val="24"/>
          <w:szCs w:val="24"/>
          <w:highlight w:val="none"/>
          <w:lang w:val="en-US" w:eastAsia="zh-CN" w:bidi="ar"/>
        </w:rPr>
        <w:t>5项</w:t>
      </w:r>
      <w:r>
        <w:rPr>
          <w:rFonts w:hint="eastAsia" w:asciiTheme="minorEastAsia" w:hAnsiTheme="minorEastAsia" w:eastAsiaTheme="minorEastAsia" w:cstheme="minorEastAsia"/>
          <w:color w:val="auto"/>
          <w:kern w:val="0"/>
          <w:sz w:val="24"/>
          <w:szCs w:val="24"/>
          <w:highlight w:val="none"/>
          <w:lang w:val="en-US" w:eastAsia="zh-CN" w:bidi="ar"/>
        </w:rPr>
        <w:t>最具代表性的奖励，超出的项目不计分。比赛奖励和学术奖励分值不叠加，</w:t>
      </w:r>
      <w:r>
        <w:rPr>
          <w:rFonts w:hint="eastAsia" w:asciiTheme="minorEastAsia" w:hAnsiTheme="minorEastAsia" w:eastAsiaTheme="minorEastAsia" w:cstheme="minorEastAsia"/>
          <w:b/>
          <w:bCs/>
          <w:color w:val="auto"/>
          <w:kern w:val="0"/>
          <w:sz w:val="24"/>
          <w:szCs w:val="24"/>
          <w:highlight w:val="none"/>
          <w:lang w:val="en-US" w:eastAsia="zh-CN" w:bidi="ar"/>
        </w:rPr>
        <w:t>作品在同一比赛中获奖只计最高奖项得分，不重复加分。</w:t>
      </w:r>
      <w:r>
        <w:rPr>
          <w:rFonts w:hint="eastAsia" w:asciiTheme="minorEastAsia" w:hAnsiTheme="minorEastAsia" w:eastAsiaTheme="minorEastAsia" w:cstheme="minorEastAsia"/>
          <w:b w:val="0"/>
          <w:bCs w:val="0"/>
          <w:color w:val="auto"/>
          <w:kern w:val="0"/>
          <w:sz w:val="24"/>
          <w:szCs w:val="24"/>
          <w:highlight w:val="none"/>
          <w:lang w:val="en-US" w:eastAsia="zh-CN" w:bidi="ar"/>
        </w:rPr>
        <w:t>学科竞赛为自身专业A、B类赛事，以吉首大学学科竞赛名单为准（如大广赛、师范生技能大赛，不在名单上的参照活动竞赛计分要求）。</w:t>
      </w:r>
    </w:p>
    <w:p w14:paraId="26B4B4D4">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0" w:firstLineChars="0"/>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学术活动、比赛及奖项分值</w:t>
      </w:r>
    </w:p>
    <w:tbl>
      <w:tblPr>
        <w:tblStyle w:val="8"/>
        <w:tblW w:w="0" w:type="auto"/>
        <w:jc w:val="center"/>
        <w:tblCellSpacing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2"/>
        <w:gridCol w:w="2335"/>
        <w:gridCol w:w="1977"/>
        <w:gridCol w:w="2197"/>
      </w:tblGrid>
      <w:tr w14:paraId="7EE86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60AB9370">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获奖级别</w:t>
            </w:r>
          </w:p>
        </w:tc>
        <w:tc>
          <w:tcPr>
            <w:tcW w:w="2335" w:type="dxa"/>
            <w:tcBorders>
              <w:top w:val="single" w:color="000000" w:sz="6" w:space="0"/>
              <w:left w:val="single" w:color="000000" w:sz="6" w:space="0"/>
              <w:bottom w:val="single" w:color="000000" w:sz="6" w:space="0"/>
              <w:right w:val="single" w:color="000000" w:sz="6" w:space="0"/>
            </w:tcBorders>
            <w:vAlign w:val="center"/>
          </w:tcPr>
          <w:p w14:paraId="29C9E331">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国家级</w:t>
            </w:r>
          </w:p>
        </w:tc>
        <w:tc>
          <w:tcPr>
            <w:tcW w:w="1977" w:type="dxa"/>
            <w:tcBorders>
              <w:top w:val="single" w:color="000000" w:sz="6" w:space="0"/>
              <w:left w:val="single" w:color="000000" w:sz="6" w:space="0"/>
              <w:bottom w:val="single" w:color="000000" w:sz="6" w:space="0"/>
              <w:right w:val="single" w:color="000000" w:sz="6" w:space="0"/>
            </w:tcBorders>
            <w:vAlign w:val="center"/>
          </w:tcPr>
          <w:p w14:paraId="185530C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省、部级</w:t>
            </w:r>
          </w:p>
        </w:tc>
        <w:tc>
          <w:tcPr>
            <w:tcW w:w="2197" w:type="dxa"/>
            <w:tcBorders>
              <w:top w:val="single" w:color="000000" w:sz="6" w:space="0"/>
              <w:left w:val="single" w:color="000000" w:sz="6" w:space="0"/>
              <w:bottom w:val="single" w:color="000000" w:sz="6" w:space="0"/>
              <w:right w:val="single" w:color="000000" w:sz="6" w:space="0"/>
            </w:tcBorders>
            <w:vAlign w:val="center"/>
          </w:tcPr>
          <w:p w14:paraId="316B5FDC">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州、校级</w:t>
            </w:r>
          </w:p>
        </w:tc>
      </w:tr>
      <w:tr w14:paraId="1489E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1396AF1F">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一等或特等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625EDBB3">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40</w:t>
            </w:r>
          </w:p>
        </w:tc>
        <w:tc>
          <w:tcPr>
            <w:tcW w:w="1977" w:type="dxa"/>
            <w:tcBorders>
              <w:top w:val="single" w:color="000000" w:sz="6" w:space="0"/>
              <w:left w:val="single" w:color="000000" w:sz="6" w:space="0"/>
              <w:bottom w:val="single" w:color="000000" w:sz="6" w:space="0"/>
              <w:right w:val="single" w:color="000000" w:sz="6" w:space="0"/>
            </w:tcBorders>
            <w:vAlign w:val="center"/>
          </w:tcPr>
          <w:p w14:paraId="6E6C0430">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20</w:t>
            </w:r>
          </w:p>
        </w:tc>
        <w:tc>
          <w:tcPr>
            <w:tcW w:w="2197" w:type="dxa"/>
            <w:tcBorders>
              <w:top w:val="single" w:color="000000" w:sz="6" w:space="0"/>
              <w:left w:val="single" w:color="000000" w:sz="6" w:space="0"/>
              <w:bottom w:val="single" w:color="000000" w:sz="6" w:space="0"/>
              <w:right w:val="single" w:color="000000" w:sz="6" w:space="0"/>
            </w:tcBorders>
            <w:vAlign w:val="center"/>
          </w:tcPr>
          <w:p w14:paraId="22DAC95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5</w:t>
            </w:r>
          </w:p>
        </w:tc>
      </w:tr>
      <w:tr w14:paraId="6E118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1D58F436">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二等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1192624B">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30</w:t>
            </w:r>
          </w:p>
        </w:tc>
        <w:tc>
          <w:tcPr>
            <w:tcW w:w="1977" w:type="dxa"/>
            <w:tcBorders>
              <w:top w:val="single" w:color="000000" w:sz="6" w:space="0"/>
              <w:left w:val="single" w:color="000000" w:sz="6" w:space="0"/>
              <w:bottom w:val="single" w:color="000000" w:sz="6" w:space="0"/>
              <w:right w:val="single" w:color="000000" w:sz="6" w:space="0"/>
            </w:tcBorders>
            <w:vAlign w:val="center"/>
          </w:tcPr>
          <w:p w14:paraId="75EE8128">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15</w:t>
            </w:r>
          </w:p>
        </w:tc>
        <w:tc>
          <w:tcPr>
            <w:tcW w:w="2197" w:type="dxa"/>
            <w:tcBorders>
              <w:top w:val="single" w:color="000000" w:sz="6" w:space="0"/>
              <w:left w:val="single" w:color="000000" w:sz="6" w:space="0"/>
              <w:bottom w:val="single" w:color="000000" w:sz="6" w:space="0"/>
              <w:right w:val="single" w:color="000000" w:sz="6" w:space="0"/>
            </w:tcBorders>
            <w:vAlign w:val="center"/>
          </w:tcPr>
          <w:p w14:paraId="72FA73B8">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4</w:t>
            </w:r>
          </w:p>
        </w:tc>
      </w:tr>
      <w:tr w14:paraId="49BB2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082A7740">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三等</w:t>
            </w:r>
          </w:p>
        </w:tc>
        <w:tc>
          <w:tcPr>
            <w:tcW w:w="2335" w:type="dxa"/>
            <w:tcBorders>
              <w:top w:val="single" w:color="000000" w:sz="6" w:space="0"/>
              <w:left w:val="single" w:color="000000" w:sz="6" w:space="0"/>
              <w:bottom w:val="single" w:color="000000" w:sz="6" w:space="0"/>
              <w:right w:val="single" w:color="000000" w:sz="6" w:space="0"/>
            </w:tcBorders>
            <w:vAlign w:val="center"/>
          </w:tcPr>
          <w:p w14:paraId="633EE345">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20</w:t>
            </w:r>
          </w:p>
        </w:tc>
        <w:tc>
          <w:tcPr>
            <w:tcW w:w="1977" w:type="dxa"/>
            <w:tcBorders>
              <w:top w:val="single" w:color="000000" w:sz="6" w:space="0"/>
              <w:left w:val="single" w:color="000000" w:sz="6" w:space="0"/>
              <w:bottom w:val="single" w:color="000000" w:sz="6" w:space="0"/>
              <w:right w:val="single" w:color="000000" w:sz="6" w:space="0"/>
            </w:tcBorders>
            <w:vAlign w:val="center"/>
          </w:tcPr>
          <w:p w14:paraId="7549DFA4">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10</w:t>
            </w:r>
          </w:p>
        </w:tc>
        <w:tc>
          <w:tcPr>
            <w:tcW w:w="2197" w:type="dxa"/>
            <w:tcBorders>
              <w:top w:val="single" w:color="000000" w:sz="6" w:space="0"/>
              <w:left w:val="single" w:color="000000" w:sz="6" w:space="0"/>
              <w:bottom w:val="single" w:color="000000" w:sz="6" w:space="0"/>
              <w:right w:val="single" w:color="000000" w:sz="6" w:space="0"/>
            </w:tcBorders>
            <w:vAlign w:val="center"/>
          </w:tcPr>
          <w:p w14:paraId="53145846">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3</w:t>
            </w:r>
          </w:p>
        </w:tc>
      </w:tr>
      <w:tr w14:paraId="0C16A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blCellSpacing w:w="0" w:type="dxa"/>
          <w:jc w:val="center"/>
        </w:trPr>
        <w:tc>
          <w:tcPr>
            <w:tcW w:w="1812" w:type="dxa"/>
            <w:tcBorders>
              <w:top w:val="single" w:color="000000" w:sz="6" w:space="0"/>
              <w:left w:val="single" w:color="000000" w:sz="6" w:space="0"/>
              <w:bottom w:val="single" w:color="000000" w:sz="6" w:space="0"/>
              <w:right w:val="single" w:color="000000" w:sz="6" w:space="0"/>
            </w:tcBorders>
            <w:vAlign w:val="center"/>
          </w:tcPr>
          <w:p w14:paraId="2CBFB870">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四等或优秀</w:t>
            </w:r>
          </w:p>
        </w:tc>
        <w:tc>
          <w:tcPr>
            <w:tcW w:w="2335" w:type="dxa"/>
            <w:tcBorders>
              <w:top w:val="single" w:color="000000" w:sz="6" w:space="0"/>
              <w:left w:val="single" w:color="000000" w:sz="6" w:space="0"/>
              <w:bottom w:val="single" w:color="000000" w:sz="6" w:space="0"/>
              <w:right w:val="single" w:color="000000" w:sz="6" w:space="0"/>
            </w:tcBorders>
            <w:vAlign w:val="center"/>
          </w:tcPr>
          <w:p w14:paraId="172E0C2B">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5</w:t>
            </w:r>
          </w:p>
        </w:tc>
        <w:tc>
          <w:tcPr>
            <w:tcW w:w="1977" w:type="dxa"/>
            <w:tcBorders>
              <w:top w:val="single" w:color="000000" w:sz="6" w:space="0"/>
              <w:left w:val="single" w:color="000000" w:sz="6" w:space="0"/>
              <w:bottom w:val="single" w:color="000000" w:sz="6" w:space="0"/>
              <w:right w:val="single" w:color="000000" w:sz="6" w:space="0"/>
            </w:tcBorders>
            <w:vAlign w:val="center"/>
          </w:tcPr>
          <w:p w14:paraId="5547FAA5">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3</w:t>
            </w:r>
          </w:p>
        </w:tc>
        <w:tc>
          <w:tcPr>
            <w:tcW w:w="2197" w:type="dxa"/>
            <w:tcBorders>
              <w:top w:val="single" w:color="000000" w:sz="6" w:space="0"/>
              <w:left w:val="single" w:color="000000" w:sz="6" w:space="0"/>
              <w:bottom w:val="single" w:color="000000" w:sz="6" w:space="0"/>
              <w:right w:val="single" w:color="000000" w:sz="6" w:space="0"/>
            </w:tcBorders>
            <w:vAlign w:val="center"/>
          </w:tcPr>
          <w:p w14:paraId="384D4F34">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2</w:t>
            </w:r>
          </w:p>
        </w:tc>
      </w:tr>
    </w:tbl>
    <w:p w14:paraId="42433C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auto"/>
          <w:kern w:val="0"/>
          <w:sz w:val="24"/>
          <w:szCs w:val="24"/>
          <w:highlight w:val="none"/>
          <w:lang w:val="en-US" w:eastAsia="zh-CN" w:bidi="ar"/>
        </w:rPr>
        <w:t>（3）共同参与合作的获奖分值根据负责人和参与人员（需提供证书材料和参与人员排名名单，学院后期会进行真实性核实）按比例分配，具体分配比</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例为：二人的分别为70%、30%；三人的分别为50%、30%、20%；四人的分别为50%、20%、20%、10%；五人的分别为50%、20%、10%、10%、10%，排名在第五以后的不予计分，若排名前五的组成员为校外人员，其计分归负责人（排名第一）所有；</w:t>
      </w: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若导师为负责人（排名第一），则按忽略导师的顺序计分</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。所获奖项为团体奖，但排名不分先后的，所有获奖成员平均分配最高加分分值。</w:t>
      </w: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同一项目重复获奖的，按最高类别计算。</w:t>
      </w:r>
    </w:p>
    <w:p w14:paraId="175F8D2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（4）在研究生学术活动节、沈从文大讲堂举办个人学术讲座，每场讲座计1分，可累计加分。</w:t>
      </w: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限3场。</w:t>
      </w:r>
    </w:p>
    <w:p w14:paraId="399C95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bCs/>
          <w:color w:val="auto"/>
          <w:kern w:val="0"/>
          <w:sz w:val="24"/>
          <w:szCs w:val="24"/>
          <w:highlight w:val="none"/>
          <w:lang w:val="en-US" w:eastAsia="zh-CN" w:bidi="ar"/>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（5）在校期间独立参加国内外学术会议并宣读论文（需提供参评人论文被</w:t>
      </w:r>
      <w:r>
        <w:rPr>
          <w:rFonts w:hint="eastAsia" w:asciiTheme="minorEastAsia" w:hAnsiTheme="minorEastAsia" w:eastAsiaTheme="minorEastAsia" w:cstheme="minorEastAsia"/>
          <w:color w:val="auto"/>
          <w:kern w:val="0"/>
          <w:sz w:val="24"/>
          <w:szCs w:val="24"/>
          <w:highlight w:val="none"/>
          <w:lang w:val="en-US" w:eastAsia="zh-CN" w:bidi="ar"/>
        </w:rPr>
        <w:t>收录的论文集、会议议程、宣讲或发言截图证明），每次计3分。如两人以上参会，仅第一人可加分；仅参会不发言，不计分。</w:t>
      </w:r>
      <w:r>
        <w:rPr>
          <w:rFonts w:hint="eastAsia" w:asciiTheme="minorEastAsia" w:hAnsiTheme="minorEastAsia" w:eastAsiaTheme="minorEastAsia" w:cstheme="minorEastAsia"/>
          <w:b/>
          <w:bCs/>
          <w:color w:val="auto"/>
          <w:kern w:val="0"/>
          <w:sz w:val="24"/>
          <w:szCs w:val="24"/>
          <w:highlight w:val="none"/>
          <w:lang w:val="en-US" w:eastAsia="zh-CN" w:bidi="ar"/>
        </w:rPr>
        <w:t>限3场。</w:t>
      </w:r>
    </w:p>
    <w:p w14:paraId="06F8B6A8">
      <w:pPr>
        <w:keepNext w:val="0"/>
        <w:keepLines w:val="0"/>
        <w:pageBreakBefore w:val="0"/>
        <w:widowControl/>
        <w:suppressLineNumbers w:val="0"/>
        <w:kinsoku/>
        <w:wordWrap/>
        <w:overflowPunct/>
        <w:topLinePunct w:val="0"/>
        <w:autoSpaceDE/>
        <w:autoSpaceDN/>
        <w:bidi w:val="0"/>
        <w:adjustRightInd/>
        <w:snapToGrid/>
        <w:spacing w:line="360" w:lineRule="auto"/>
        <w:ind w:firstLine="241" w:firstLineChars="100"/>
        <w:jc w:val="both"/>
        <w:textAlignment w:val="auto"/>
        <w:rPr>
          <w:rFonts w:hint="eastAsia" w:asciiTheme="minorEastAsia" w:hAnsiTheme="minorEastAsia" w:eastAsiaTheme="minorEastAsia" w:cstheme="minorEastAsia"/>
          <w:b/>
          <w:bCs/>
          <w:color w:val="auto"/>
          <w:kern w:val="0"/>
          <w:sz w:val="24"/>
          <w:szCs w:val="24"/>
          <w:highlight w:val="none"/>
          <w:lang w:val="en-US" w:eastAsia="zh-CN" w:bidi="ar"/>
        </w:rPr>
      </w:pPr>
    </w:p>
    <w:p w14:paraId="390F673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2.发明专利（C2）</w:t>
      </w:r>
    </w:p>
    <w:p w14:paraId="111D84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（1）国家发明专利</w:t>
      </w:r>
    </w:p>
    <w:p w14:paraId="5B9402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以吉首大学为第一授权单位获得国家发明专利权的，加分总值为20分。排名第1、第2、第3名的加分权重分别为75%、50%和25%，第4名及以后的成员加分权重为10%。限报1项代表性的专利。</w:t>
      </w:r>
    </w:p>
    <w:p w14:paraId="52FD88A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（2）外观设计、实用新型专利及软件著作权</w:t>
      </w:r>
    </w:p>
    <w:p w14:paraId="5C3BE2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以吉首大学为第一授权单位获得外观设计、实用新型专利及软件著作权的，加分总值为10分。排名第1、第2、第3名的加分权重分别为75%、50%和25%，第4名及以后的成员加分权重为10%。限报1项代表性的专利。</w:t>
      </w:r>
    </w:p>
    <w:p w14:paraId="79971205">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48165ABD">
      <w:pPr>
        <w:keepNext w:val="0"/>
        <w:keepLines w:val="0"/>
        <w:pageBreakBefore w:val="0"/>
        <w:tabs>
          <w:tab w:val="left" w:pos="360"/>
        </w:tabs>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五、社会活动（D×10﹪，D＝D1＋D2＋D3+D4，总分超过十分按十分计算）</w:t>
      </w:r>
    </w:p>
    <w:p w14:paraId="3809C16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社会活动分由活动竞赛分、活动表彰奖励分、研究生干部分、志愿者活动分4项分值累加。</w:t>
      </w:r>
    </w:p>
    <w:p w14:paraId="7202C9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计算公式为：D＝D</w:t>
      </w:r>
      <w:r>
        <w:rPr>
          <w:rFonts w:hint="default"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＋D2＋D3+D4，</w:t>
      </w: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总分超过十分按十分计算</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w:t>
      </w:r>
    </w:p>
    <w:p w14:paraId="77A5F14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1.活动竞赛（</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D</w:t>
      </w: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1)</w:t>
      </w:r>
    </w:p>
    <w:p w14:paraId="4406A858">
      <w:pPr>
        <w:keepNext w:val="0"/>
        <w:keepLines w:val="0"/>
        <w:pageBreakBefore w:val="0"/>
        <w:widowControl/>
        <w:numPr>
          <w:ilvl w:val="0"/>
          <w:numId w:val="0"/>
        </w:numPr>
        <w:suppressLineNumbers w:val="0"/>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各类</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社会活动竞赛奖励分值</w:t>
      </w:r>
    </w:p>
    <w:tbl>
      <w:tblPr>
        <w:tblStyle w:val="8"/>
        <w:tblW w:w="0" w:type="auto"/>
        <w:jc w:val="center"/>
        <w:tblCellSpacing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64"/>
        <w:gridCol w:w="1880"/>
        <w:gridCol w:w="1738"/>
        <w:gridCol w:w="1738"/>
      </w:tblGrid>
      <w:tr w14:paraId="7692B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blCellSpacing w:w="0" w:type="dxa"/>
          <w:jc w:val="center"/>
        </w:trPr>
        <w:tc>
          <w:tcPr>
            <w:tcW w:w="1764" w:type="dxa"/>
            <w:vAlign w:val="center"/>
          </w:tcPr>
          <w:p w14:paraId="279B63C3">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奖励级别</w:t>
            </w:r>
          </w:p>
        </w:tc>
        <w:tc>
          <w:tcPr>
            <w:tcW w:w="1880" w:type="dxa"/>
            <w:vAlign w:val="center"/>
          </w:tcPr>
          <w:p w14:paraId="7BDD4CEE">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国家级</w:t>
            </w:r>
          </w:p>
        </w:tc>
        <w:tc>
          <w:tcPr>
            <w:tcW w:w="1738" w:type="dxa"/>
            <w:vAlign w:val="center"/>
          </w:tcPr>
          <w:p w14:paraId="69F233E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省、部级</w:t>
            </w:r>
          </w:p>
        </w:tc>
        <w:tc>
          <w:tcPr>
            <w:tcW w:w="1738" w:type="dxa"/>
            <w:vAlign w:val="center"/>
          </w:tcPr>
          <w:p w14:paraId="492AD90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州、校级</w:t>
            </w:r>
          </w:p>
        </w:tc>
      </w:tr>
      <w:tr w14:paraId="6314C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 w:hRule="atLeast"/>
          <w:tblCellSpacing w:w="0" w:type="dxa"/>
          <w:jc w:val="center"/>
        </w:trPr>
        <w:tc>
          <w:tcPr>
            <w:tcW w:w="1764" w:type="dxa"/>
            <w:vAlign w:val="center"/>
          </w:tcPr>
          <w:p w14:paraId="277DD738">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一等或特等</w:t>
            </w:r>
          </w:p>
        </w:tc>
        <w:tc>
          <w:tcPr>
            <w:tcW w:w="1880" w:type="dxa"/>
            <w:vAlign w:val="center"/>
          </w:tcPr>
          <w:p w14:paraId="52D2E3FC">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10</w:t>
            </w:r>
          </w:p>
        </w:tc>
        <w:tc>
          <w:tcPr>
            <w:tcW w:w="1738" w:type="dxa"/>
            <w:vAlign w:val="center"/>
          </w:tcPr>
          <w:p w14:paraId="6BD0FDB1">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p>
        </w:tc>
        <w:tc>
          <w:tcPr>
            <w:tcW w:w="1738" w:type="dxa"/>
            <w:vAlign w:val="center"/>
          </w:tcPr>
          <w:p w14:paraId="7705B9C0">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r>
      <w:tr w14:paraId="589FF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CellSpacing w:w="0" w:type="dxa"/>
          <w:jc w:val="center"/>
        </w:trPr>
        <w:tc>
          <w:tcPr>
            <w:tcW w:w="1764" w:type="dxa"/>
            <w:vAlign w:val="center"/>
          </w:tcPr>
          <w:p w14:paraId="552F618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二等</w:t>
            </w:r>
          </w:p>
        </w:tc>
        <w:tc>
          <w:tcPr>
            <w:tcW w:w="1880" w:type="dxa"/>
            <w:vAlign w:val="center"/>
          </w:tcPr>
          <w:p w14:paraId="77C7DAB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p>
        </w:tc>
        <w:tc>
          <w:tcPr>
            <w:tcW w:w="1738" w:type="dxa"/>
            <w:vAlign w:val="center"/>
          </w:tcPr>
          <w:p w14:paraId="7BEDE3C4">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1738" w:type="dxa"/>
            <w:vAlign w:val="center"/>
          </w:tcPr>
          <w:p w14:paraId="31DBF654">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r>
      <w:tr w14:paraId="6F3F5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CellSpacing w:w="0" w:type="dxa"/>
          <w:jc w:val="center"/>
        </w:trPr>
        <w:tc>
          <w:tcPr>
            <w:tcW w:w="1764" w:type="dxa"/>
            <w:vAlign w:val="center"/>
          </w:tcPr>
          <w:p w14:paraId="74E02D3C">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三等</w:t>
            </w:r>
          </w:p>
        </w:tc>
        <w:tc>
          <w:tcPr>
            <w:tcW w:w="1880" w:type="dxa"/>
            <w:vAlign w:val="center"/>
          </w:tcPr>
          <w:p w14:paraId="36BB684A">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1738" w:type="dxa"/>
            <w:vAlign w:val="center"/>
          </w:tcPr>
          <w:p w14:paraId="1028180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1738" w:type="dxa"/>
            <w:vAlign w:val="center"/>
          </w:tcPr>
          <w:p w14:paraId="49AD9E89">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r>
      <w:tr w14:paraId="55428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CellSpacing w:w="0" w:type="dxa"/>
          <w:jc w:val="center"/>
        </w:trPr>
        <w:tc>
          <w:tcPr>
            <w:tcW w:w="1764" w:type="dxa"/>
            <w:vAlign w:val="center"/>
          </w:tcPr>
          <w:p w14:paraId="509B278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四等或优秀</w:t>
            </w:r>
          </w:p>
        </w:tc>
        <w:tc>
          <w:tcPr>
            <w:tcW w:w="1880" w:type="dxa"/>
            <w:vAlign w:val="center"/>
          </w:tcPr>
          <w:p w14:paraId="17F23243">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1738" w:type="dxa"/>
            <w:vAlign w:val="center"/>
          </w:tcPr>
          <w:p w14:paraId="05AC3A0D">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c>
          <w:tcPr>
            <w:tcW w:w="1738" w:type="dxa"/>
            <w:vAlign w:val="center"/>
          </w:tcPr>
          <w:p w14:paraId="01927FF4">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r>
    </w:tbl>
    <w:p w14:paraId="17A7FEB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注：</w:t>
      </w: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bCs/>
          <w:color w:val="auto"/>
          <w:sz w:val="24"/>
          <w:szCs w:val="24"/>
          <w:highlight w:val="none"/>
          <w:lang w:val="en-US" w:eastAsia="zh-CN"/>
        </w:rPr>
        <w:t>限报五项。</w:t>
      </w:r>
      <w:r>
        <w:rPr>
          <w:rFonts w:hint="eastAsia" w:asciiTheme="minorEastAsia" w:hAnsiTheme="minorEastAsia" w:eastAsiaTheme="minorEastAsia" w:cstheme="minorEastAsia"/>
          <w:b w:val="0"/>
          <w:bCs w:val="0"/>
          <w:color w:val="auto"/>
          <w:sz w:val="24"/>
          <w:szCs w:val="24"/>
          <w:highlight w:val="none"/>
          <w:lang w:val="en-US" w:eastAsia="zh-CN"/>
        </w:rPr>
        <w:t>活动竞赛只为有教育厅/部、政府部门等官方公章的比赛证书加分，网络答题即给证书的比赛不加分。2.未经过院级、校级等层层晋级获得的省级及以上比赛奖项均按照州、校级分值加分。3.学术活动节、学术会议的论文获奖按照州、校级分值加分。4.</w:t>
      </w:r>
      <w:r>
        <w:rPr>
          <w:rFonts w:hint="eastAsia" w:asciiTheme="minorEastAsia" w:hAnsiTheme="minorEastAsia" w:eastAsiaTheme="minorEastAsia" w:cstheme="minorEastAsia"/>
          <w:bCs/>
          <w:color w:val="auto"/>
          <w:sz w:val="24"/>
          <w:szCs w:val="24"/>
          <w:highlight w:val="none"/>
          <w:lang w:val="en-US" w:eastAsia="zh-CN"/>
        </w:rPr>
        <w:t>大学生语言文字能力大赛</w:t>
      </w:r>
      <w:r>
        <w:rPr>
          <w:rFonts w:hint="eastAsia" w:asciiTheme="minorEastAsia" w:hAnsiTheme="minorEastAsia" w:eastAsiaTheme="minorEastAsia" w:cstheme="minorEastAsia"/>
          <w:b w:val="0"/>
          <w:bCs w:val="0"/>
          <w:color w:val="auto"/>
          <w:sz w:val="24"/>
          <w:szCs w:val="24"/>
          <w:highlight w:val="none"/>
          <w:lang w:val="en-US" w:eastAsia="zh-CN"/>
        </w:rPr>
        <w:t>按照州、校级分值加分。</w:t>
      </w:r>
      <w:r>
        <w:rPr>
          <w:rFonts w:hint="eastAsia" w:asciiTheme="minorEastAsia" w:hAnsiTheme="minorEastAsia" w:eastAsiaTheme="minorEastAsia" w:cstheme="minorEastAsia"/>
          <w:bCs/>
          <w:color w:val="auto"/>
          <w:sz w:val="24"/>
          <w:szCs w:val="24"/>
          <w:highlight w:val="none"/>
          <w:lang w:val="en-US" w:eastAsia="zh-CN"/>
        </w:rPr>
        <w:t>5.马克思主义新闻观征文活动、研究生学术论坛活动、大学生语言文字能力大赛、图书馆征文活动</w:t>
      </w:r>
      <w:r>
        <w:rPr>
          <w:rFonts w:hint="eastAsia" w:asciiTheme="minorEastAsia" w:hAnsiTheme="minorEastAsia" w:eastAsiaTheme="minorEastAsia" w:cstheme="minorEastAsia"/>
          <w:bCs/>
          <w:color w:val="auto"/>
          <w:sz w:val="24"/>
          <w:szCs w:val="24"/>
          <w:highlight w:val="none"/>
        </w:rPr>
        <w:t>属于社会活动</w:t>
      </w:r>
      <w:r>
        <w:rPr>
          <w:rFonts w:hint="eastAsia" w:asciiTheme="minorEastAsia" w:hAnsiTheme="minorEastAsia" w:eastAsiaTheme="minorEastAsia" w:cstheme="minorEastAsia"/>
          <w:bCs/>
          <w:color w:val="auto"/>
          <w:sz w:val="24"/>
          <w:szCs w:val="24"/>
          <w:highlight w:val="none"/>
          <w:lang w:val="en-US" w:eastAsia="zh-CN"/>
        </w:rPr>
        <w:t>。</w:t>
      </w:r>
    </w:p>
    <w:p w14:paraId="2438E89C">
      <w:pPr>
        <w:keepNext w:val="0"/>
        <w:keepLines w:val="0"/>
        <w:pageBreakBefore w:val="0"/>
        <w:widowControl/>
        <w:numPr>
          <w:ilvl w:val="0"/>
          <w:numId w:val="0"/>
        </w:numPr>
        <w:suppressLineNumbers w:val="0"/>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pPr>
    </w:p>
    <w:p w14:paraId="5B425F5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2.活动表彰奖励（</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D</w:t>
      </w:r>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2）</w:t>
      </w:r>
    </w:p>
    <w:p w14:paraId="656CE234">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0" w:firstLineChars="0"/>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社会活动表彰奖励分值</w:t>
      </w:r>
    </w:p>
    <w:tbl>
      <w:tblPr>
        <w:tblStyle w:val="8"/>
        <w:tblW w:w="8376" w:type="dxa"/>
        <w:tblCellSpacing w:w="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05"/>
        <w:gridCol w:w="1591"/>
        <w:gridCol w:w="1530"/>
        <w:gridCol w:w="1740"/>
        <w:gridCol w:w="1410"/>
      </w:tblGrid>
      <w:tr w14:paraId="74E09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blCellSpacing w:w="0" w:type="dxa"/>
        </w:trPr>
        <w:tc>
          <w:tcPr>
            <w:tcW w:w="2105" w:type="dxa"/>
            <w:tcBorders>
              <w:top w:val="single" w:color="000000" w:sz="6" w:space="0"/>
              <w:left w:val="single" w:color="000000" w:sz="6" w:space="0"/>
              <w:bottom w:val="single" w:color="000000" w:sz="6" w:space="0"/>
              <w:right w:val="single" w:color="000000" w:sz="6" w:space="0"/>
            </w:tcBorders>
            <w:vAlign w:val="center"/>
          </w:tcPr>
          <w:p w14:paraId="71EB891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奖励类别</w:t>
            </w:r>
          </w:p>
        </w:tc>
        <w:tc>
          <w:tcPr>
            <w:tcW w:w="1591" w:type="dxa"/>
            <w:tcBorders>
              <w:top w:val="single" w:color="000000" w:sz="6" w:space="0"/>
              <w:left w:val="single" w:color="000000" w:sz="6" w:space="0"/>
              <w:bottom w:val="single" w:color="000000" w:sz="6" w:space="0"/>
              <w:right w:val="single" w:color="000000" w:sz="6" w:space="0"/>
            </w:tcBorders>
            <w:vAlign w:val="center"/>
          </w:tcPr>
          <w:p w14:paraId="2D0E466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国家级</w:t>
            </w:r>
          </w:p>
        </w:tc>
        <w:tc>
          <w:tcPr>
            <w:tcW w:w="1530" w:type="dxa"/>
            <w:tcBorders>
              <w:top w:val="single" w:color="000000" w:sz="6" w:space="0"/>
              <w:left w:val="single" w:color="000000" w:sz="6" w:space="0"/>
              <w:bottom w:val="single" w:color="000000" w:sz="6" w:space="0"/>
              <w:right w:val="single" w:color="000000" w:sz="6" w:space="0"/>
            </w:tcBorders>
            <w:vAlign w:val="center"/>
          </w:tcPr>
          <w:p w14:paraId="0633D8C3">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省、部级</w:t>
            </w:r>
          </w:p>
        </w:tc>
        <w:tc>
          <w:tcPr>
            <w:tcW w:w="1740" w:type="dxa"/>
            <w:tcBorders>
              <w:top w:val="single" w:color="000000" w:sz="6" w:space="0"/>
              <w:left w:val="single" w:color="000000" w:sz="6" w:space="0"/>
              <w:bottom w:val="single" w:color="000000" w:sz="6" w:space="0"/>
              <w:right w:val="single" w:color="000000" w:sz="6" w:space="0"/>
            </w:tcBorders>
            <w:vAlign w:val="center"/>
          </w:tcPr>
          <w:p w14:paraId="06676018">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州、校级</w:t>
            </w:r>
          </w:p>
        </w:tc>
        <w:tc>
          <w:tcPr>
            <w:tcW w:w="1410" w:type="dxa"/>
            <w:tcBorders>
              <w:top w:val="single" w:color="000000" w:sz="6" w:space="0"/>
              <w:left w:val="single" w:color="000000" w:sz="6" w:space="0"/>
              <w:bottom w:val="single" w:color="000000" w:sz="6" w:space="0"/>
              <w:right w:val="single" w:color="000000" w:sz="6" w:space="0"/>
            </w:tcBorders>
            <w:vAlign w:val="center"/>
          </w:tcPr>
          <w:p w14:paraId="356A5D9C">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院级</w:t>
            </w:r>
          </w:p>
        </w:tc>
      </w:tr>
      <w:tr w14:paraId="17961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 w:hRule="atLeast"/>
          <w:tblCellSpacing w:w="0" w:type="dxa"/>
        </w:trPr>
        <w:tc>
          <w:tcPr>
            <w:tcW w:w="2105" w:type="dxa"/>
            <w:tcBorders>
              <w:top w:val="single" w:color="000000" w:sz="6" w:space="0"/>
              <w:left w:val="single" w:color="000000" w:sz="6" w:space="0"/>
              <w:bottom w:val="single" w:color="000000" w:sz="6" w:space="0"/>
              <w:right w:val="single" w:color="000000" w:sz="6" w:space="0"/>
            </w:tcBorders>
            <w:vAlign w:val="center"/>
          </w:tcPr>
          <w:p w14:paraId="381229B2">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优秀集体</w:t>
            </w:r>
          </w:p>
        </w:tc>
        <w:tc>
          <w:tcPr>
            <w:tcW w:w="1591" w:type="dxa"/>
            <w:tcBorders>
              <w:top w:val="single" w:color="000000" w:sz="6" w:space="0"/>
              <w:left w:val="single" w:color="000000" w:sz="6" w:space="0"/>
              <w:bottom w:val="single" w:color="000000" w:sz="6" w:space="0"/>
              <w:right w:val="single" w:color="000000" w:sz="6" w:space="0"/>
            </w:tcBorders>
            <w:vAlign w:val="center"/>
          </w:tcPr>
          <w:p w14:paraId="4BB7A6F2">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20</w:t>
            </w:r>
          </w:p>
        </w:tc>
        <w:tc>
          <w:tcPr>
            <w:tcW w:w="1530" w:type="dxa"/>
            <w:tcBorders>
              <w:top w:val="single" w:color="000000" w:sz="6" w:space="0"/>
              <w:left w:val="single" w:color="000000" w:sz="6" w:space="0"/>
              <w:bottom w:val="single" w:color="000000" w:sz="6" w:space="0"/>
              <w:right w:val="single" w:color="000000" w:sz="6" w:space="0"/>
            </w:tcBorders>
            <w:vAlign w:val="center"/>
          </w:tcPr>
          <w:p w14:paraId="006C56C4">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15</w:t>
            </w:r>
          </w:p>
        </w:tc>
        <w:tc>
          <w:tcPr>
            <w:tcW w:w="1740" w:type="dxa"/>
            <w:tcBorders>
              <w:top w:val="single" w:color="000000" w:sz="6" w:space="0"/>
              <w:left w:val="single" w:color="000000" w:sz="6" w:space="0"/>
              <w:bottom w:val="single" w:color="000000" w:sz="6" w:space="0"/>
              <w:right w:val="single" w:color="000000" w:sz="6" w:space="0"/>
            </w:tcBorders>
            <w:vAlign w:val="center"/>
          </w:tcPr>
          <w:p w14:paraId="4398B491">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p>
        </w:tc>
        <w:tc>
          <w:tcPr>
            <w:tcW w:w="1410" w:type="dxa"/>
            <w:tcBorders>
              <w:top w:val="single" w:color="000000" w:sz="6" w:space="0"/>
              <w:left w:val="single" w:color="000000" w:sz="6" w:space="0"/>
              <w:bottom w:val="single" w:color="000000" w:sz="6" w:space="0"/>
              <w:right w:val="single" w:color="000000" w:sz="6" w:space="0"/>
            </w:tcBorders>
            <w:vAlign w:val="center"/>
          </w:tcPr>
          <w:p w14:paraId="55183C55">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r>
      <w:tr w14:paraId="59B5C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 w:hRule="atLeast"/>
          <w:tblCellSpacing w:w="0" w:type="dxa"/>
        </w:trPr>
        <w:tc>
          <w:tcPr>
            <w:tcW w:w="2105" w:type="dxa"/>
            <w:tcBorders>
              <w:top w:val="single" w:color="000000" w:sz="6" w:space="0"/>
              <w:left w:val="single" w:color="000000" w:sz="6" w:space="0"/>
              <w:bottom w:val="single" w:color="000000" w:sz="6" w:space="0"/>
              <w:right w:val="single" w:color="000000" w:sz="6" w:space="0"/>
            </w:tcBorders>
            <w:vAlign w:val="center"/>
          </w:tcPr>
          <w:p w14:paraId="1DAA44B8">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优秀个人</w:t>
            </w:r>
          </w:p>
        </w:tc>
        <w:tc>
          <w:tcPr>
            <w:tcW w:w="1591" w:type="dxa"/>
            <w:tcBorders>
              <w:top w:val="single" w:color="000000" w:sz="6" w:space="0"/>
              <w:left w:val="single" w:color="000000" w:sz="6" w:space="0"/>
              <w:bottom w:val="single" w:color="000000" w:sz="6" w:space="0"/>
              <w:right w:val="single" w:color="000000" w:sz="6" w:space="0"/>
            </w:tcBorders>
            <w:vAlign w:val="center"/>
          </w:tcPr>
          <w:p w14:paraId="5EFE8791">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10</w:t>
            </w:r>
          </w:p>
        </w:tc>
        <w:tc>
          <w:tcPr>
            <w:tcW w:w="1530" w:type="dxa"/>
            <w:tcBorders>
              <w:top w:val="single" w:color="000000" w:sz="6" w:space="0"/>
              <w:left w:val="single" w:color="000000" w:sz="6" w:space="0"/>
              <w:bottom w:val="single" w:color="000000" w:sz="6" w:space="0"/>
              <w:right w:val="single" w:color="000000" w:sz="6" w:space="0"/>
            </w:tcBorders>
            <w:vAlign w:val="center"/>
          </w:tcPr>
          <w:p w14:paraId="6BBF5455">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1740" w:type="dxa"/>
            <w:tcBorders>
              <w:top w:val="single" w:color="000000" w:sz="6" w:space="0"/>
              <w:left w:val="single" w:color="000000" w:sz="6" w:space="0"/>
              <w:bottom w:val="single" w:color="000000" w:sz="6" w:space="0"/>
              <w:right w:val="single" w:color="000000" w:sz="6" w:space="0"/>
            </w:tcBorders>
            <w:vAlign w:val="center"/>
          </w:tcPr>
          <w:p w14:paraId="23E9ED1A">
            <w:pPr>
              <w:keepNext w:val="0"/>
              <w:keepLines w:val="0"/>
              <w:pageBreakBefore w:val="0"/>
              <w:shd w:val="clear" w:color="auto" w:fill="FFFFFF"/>
              <w:kinsoku/>
              <w:overflowPunct/>
              <w:topLinePunct w:val="0"/>
              <w:autoSpaceDE/>
              <w:bidi w:val="0"/>
              <w:adjustRightIn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c>
          <w:tcPr>
            <w:tcW w:w="1410" w:type="dxa"/>
            <w:tcBorders>
              <w:top w:val="single" w:color="000000" w:sz="6" w:space="0"/>
              <w:left w:val="single" w:color="000000" w:sz="6" w:space="0"/>
              <w:bottom w:val="single" w:color="000000" w:sz="6" w:space="0"/>
              <w:right w:val="single" w:color="000000" w:sz="6" w:space="0"/>
            </w:tcBorders>
            <w:vAlign w:val="center"/>
          </w:tcPr>
          <w:p w14:paraId="23DB9B85">
            <w:pPr>
              <w:keepNext w:val="0"/>
              <w:keepLines w:val="0"/>
              <w:pageBreakBefore w:val="0"/>
              <w:shd w:val="clear" w:color="auto" w:fill="FFFFFF"/>
              <w:kinsoku/>
              <w:overflowPunct/>
              <w:topLinePunct w:val="0"/>
              <w:autoSpaceDE/>
              <w:bidi w:val="0"/>
              <w:adjustRightIn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r>
    </w:tbl>
    <w:p w14:paraId="6A6F9ED0">
      <w:pPr>
        <w:keepNext w:val="0"/>
        <w:keepLines w:val="0"/>
        <w:pageBreakBefore w:val="0"/>
        <w:kinsoku/>
        <w:overflowPunct/>
        <w:topLinePunct w:val="0"/>
        <w:autoSpaceDE/>
        <w:bidi w:val="0"/>
        <w:adjustRightIn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注：</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（1）此类优秀个人主要包含优秀组织者，优秀工作者（包含会务工作），研究生三好学生，优秀研究生干部，优秀团干，优秀党员，优秀团员等荣誉称号。</w:t>
      </w:r>
    </w:p>
    <w:p w14:paraId="6FA16BE3">
      <w:pPr>
        <w:keepNext w:val="0"/>
        <w:keepLines w:val="0"/>
        <w:pageBreakBefore w:val="0"/>
        <w:kinsoku/>
        <w:overflowPunct/>
        <w:topLinePunct w:val="0"/>
        <w:autoSpaceDE/>
        <w:bidi w:val="0"/>
        <w:adjustRightIn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所有奖项必须出具相关获奖证书或相关证明材料。所获奖项为个人奖时</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加分分值为相应获奖等级的最高加分分值。所获奖项为团体奖时，团体内成员共同分配最高加分分值，排名第1、第2、第3名的加分权重分别为75%、50%和25%，第4名及以后的成员加分权重为10%。所获奖项为团体奖，但排名不分先后的，所有获奖成员平均分配最高加分分值。同一项目重复获奖的，按最高类别计算。</w:t>
      </w:r>
    </w:p>
    <w:p w14:paraId="31EC9D9A">
      <w:pPr>
        <w:keepNext w:val="0"/>
        <w:keepLines w:val="0"/>
        <w:pageBreakBefore w:val="0"/>
        <w:tabs>
          <w:tab w:val="left" w:pos="360"/>
        </w:tabs>
        <w:kinsoku/>
        <w:overflowPunct/>
        <w:topLinePunct w:val="0"/>
        <w:autoSpaceDE/>
        <w:bidi w:val="0"/>
        <w:adjustRightInd/>
        <w:spacing w:line="360" w:lineRule="auto"/>
        <w:ind w:left="105" w:leftChars="50" w:firstLine="361" w:firstLineChars="15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p>
    <w:p w14:paraId="04146B4F">
      <w:pPr>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3</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学生</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干部</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履职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auto"/>
          <w:sz w:val="24"/>
          <w:szCs w:val="24"/>
          <w:highlight w:val="none"/>
          <w:lang w:val="en-US" w:eastAsia="zh-CN"/>
        </w:rPr>
        <w:t>D</w:t>
      </w:r>
      <w:r>
        <w:rPr>
          <w:rFonts w:hint="eastAsia" w:asciiTheme="minorEastAsia" w:hAnsiTheme="minorEastAsia" w:eastAsiaTheme="minorEastAsia" w:cstheme="minorEastAsia"/>
          <w:b/>
          <w:bCs/>
          <w:color w:val="auto"/>
          <w:sz w:val="24"/>
          <w:szCs w:val="24"/>
          <w:highlight w:val="none"/>
        </w:rPr>
        <w:t>3</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工作满一年且考核合格者，研究生助理除外</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p>
    <w:tbl>
      <w:tblPr>
        <w:tblStyle w:val="8"/>
        <w:tblpPr w:leftFromText="180" w:rightFromText="180" w:vertAnchor="text" w:horzAnchor="page" w:tblpXSpec="center" w:tblpY="256"/>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1303"/>
        <w:gridCol w:w="1700"/>
        <w:gridCol w:w="1738"/>
        <w:gridCol w:w="1231"/>
        <w:gridCol w:w="1172"/>
      </w:tblGrid>
      <w:tr w14:paraId="2ACB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7" w:hRule="atLeast"/>
          <w:jc w:val="center"/>
        </w:trPr>
        <w:tc>
          <w:tcPr>
            <w:tcW w:w="716" w:type="pct"/>
            <w:shd w:val="clear" w:color="auto" w:fill="FDEADA" w:themeFill="accent6" w:themeFillTint="32"/>
            <w:vAlign w:val="center"/>
          </w:tcPr>
          <w:p w14:paraId="069D8749">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干部职务</w:t>
            </w:r>
          </w:p>
        </w:tc>
        <w:tc>
          <w:tcPr>
            <w:tcW w:w="781" w:type="pct"/>
            <w:shd w:val="clear" w:color="auto" w:fill="92D050"/>
            <w:vAlign w:val="center"/>
          </w:tcPr>
          <w:p w14:paraId="4907C6B5">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校研究生会主席</w:t>
            </w:r>
          </w:p>
        </w:tc>
        <w:tc>
          <w:tcPr>
            <w:tcW w:w="1019" w:type="pct"/>
            <w:shd w:val="clear" w:color="auto" w:fill="92D050"/>
            <w:vAlign w:val="center"/>
          </w:tcPr>
          <w:p w14:paraId="1DBE2B9B">
            <w:pPr>
              <w:keepNext w:val="0"/>
              <w:keepLines w:val="0"/>
              <w:pageBreakBefore w:val="0"/>
              <w:tabs>
                <w:tab w:val="left" w:pos="360"/>
              </w:tabs>
              <w:kinsoku/>
              <w:overflowPunct/>
              <w:topLinePunct w:val="0"/>
              <w:autoSpaceDE/>
              <w:bidi w:val="0"/>
              <w:adjustRightInd/>
              <w:spacing w:line="360" w:lineRule="exact"/>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校研究生会副主席、学院研究生会主席</w:t>
            </w:r>
          </w:p>
        </w:tc>
        <w:tc>
          <w:tcPr>
            <w:tcW w:w="1042" w:type="pct"/>
            <w:shd w:val="clear" w:color="auto" w:fill="92D050"/>
            <w:vAlign w:val="center"/>
          </w:tcPr>
          <w:p w14:paraId="2647D2BA">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校研究生会部长、学院研究生会副主席</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学院研究生会部长</w:t>
            </w:r>
          </w:p>
        </w:tc>
        <w:tc>
          <w:tcPr>
            <w:tcW w:w="738" w:type="pct"/>
            <w:shd w:val="clear" w:color="auto" w:fill="92D050"/>
            <w:vAlign w:val="center"/>
          </w:tcPr>
          <w:p w14:paraId="21315C8C">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其他研究生干部</w:t>
            </w:r>
          </w:p>
        </w:tc>
        <w:tc>
          <w:tcPr>
            <w:tcW w:w="702" w:type="pct"/>
            <w:shd w:val="clear" w:color="auto" w:fill="92D050"/>
            <w:vAlign w:val="center"/>
          </w:tcPr>
          <w:p w14:paraId="2C209349">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研究生</w:t>
            </w:r>
            <w:r>
              <w:rPr>
                <w:rFonts w:hint="eastAsia" w:asciiTheme="minorEastAsia" w:hAnsiTheme="minorEastAsia" w:eastAsiaTheme="minorEastAsia" w:cstheme="minorEastAsia"/>
                <w:color w:val="000000" w:themeColor="text1"/>
                <w:sz w:val="24"/>
                <w:szCs w:val="24"/>
                <w:highlight w:val="none"/>
                <w:lang w:val="en-US" w:eastAsia="zh-Hans"/>
                <w14:textFill>
                  <w14:solidFill>
                    <w14:schemeClr w14:val="tx1"/>
                  </w14:solidFill>
                </w14:textFill>
              </w:rPr>
              <w:t>助理</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（按半年考核加分）</w:t>
            </w:r>
          </w:p>
        </w:tc>
      </w:tr>
      <w:tr w14:paraId="4C22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16" w:type="pct"/>
            <w:shd w:val="clear" w:color="auto" w:fill="FDEADA" w:themeFill="accent6" w:themeFillTint="32"/>
            <w:vAlign w:val="center"/>
          </w:tcPr>
          <w:p w14:paraId="1F25882E">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最高加分分值</w:t>
            </w:r>
          </w:p>
        </w:tc>
        <w:tc>
          <w:tcPr>
            <w:tcW w:w="781" w:type="pct"/>
            <w:shd w:val="clear" w:color="auto" w:fill="FFFFFF" w:themeFill="background1"/>
            <w:vAlign w:val="center"/>
          </w:tcPr>
          <w:p w14:paraId="2876CBA4">
            <w:pPr>
              <w:keepNext w:val="0"/>
              <w:keepLines w:val="0"/>
              <w:pageBreakBefore w:val="0"/>
              <w:tabs>
                <w:tab w:val="left" w:pos="360"/>
              </w:tabs>
              <w:kinsoku/>
              <w:overflowPunct/>
              <w:topLinePunct w:val="0"/>
              <w:autoSpaceDE/>
              <w:bidi w:val="0"/>
              <w:adjustRightInd/>
              <w:spacing w:line="360" w:lineRule="exact"/>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10</w:t>
            </w:r>
          </w:p>
        </w:tc>
        <w:tc>
          <w:tcPr>
            <w:tcW w:w="1019" w:type="pct"/>
            <w:shd w:val="clear" w:color="auto" w:fill="FFFFFF" w:themeFill="background1"/>
            <w:vAlign w:val="center"/>
          </w:tcPr>
          <w:p w14:paraId="785F640E">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1042" w:type="pct"/>
            <w:shd w:val="clear" w:color="auto" w:fill="FFFFFF" w:themeFill="background1"/>
            <w:vAlign w:val="center"/>
          </w:tcPr>
          <w:p w14:paraId="253F79B0">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738" w:type="pct"/>
            <w:shd w:val="clear" w:color="auto" w:fill="FFFFFF" w:themeFill="background1"/>
            <w:vAlign w:val="center"/>
          </w:tcPr>
          <w:p w14:paraId="61045A27">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c>
          <w:tcPr>
            <w:tcW w:w="702" w:type="pct"/>
            <w:shd w:val="clear" w:color="auto" w:fill="FFFFFF" w:themeFill="background1"/>
            <w:vAlign w:val="center"/>
          </w:tcPr>
          <w:p w14:paraId="18E302F7">
            <w:pPr>
              <w:keepNext w:val="0"/>
              <w:keepLines w:val="0"/>
              <w:pageBreakBefore w:val="0"/>
              <w:tabs>
                <w:tab w:val="left" w:pos="360"/>
              </w:tabs>
              <w:kinsoku/>
              <w:overflowPunct/>
              <w:topLinePunct w:val="0"/>
              <w:autoSpaceDE/>
              <w:bidi w:val="0"/>
              <w:adjustRightInd/>
              <w:spacing w:line="360" w:lineRule="exact"/>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r>
      <w:tr w14:paraId="7DDC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16" w:type="pct"/>
            <w:shd w:val="clear" w:color="auto" w:fill="FDEADA" w:themeFill="accent6" w:themeFillTint="32"/>
            <w:vAlign w:val="center"/>
          </w:tcPr>
          <w:p w14:paraId="62E5DF60">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党务职务</w:t>
            </w:r>
          </w:p>
        </w:tc>
        <w:tc>
          <w:tcPr>
            <w:tcW w:w="781" w:type="pct"/>
            <w:shd w:val="clear" w:color="auto" w:fill="92D050"/>
            <w:vAlign w:val="center"/>
          </w:tcPr>
          <w:p w14:paraId="474E0287">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党支部书记</w:t>
            </w:r>
          </w:p>
        </w:tc>
        <w:tc>
          <w:tcPr>
            <w:tcW w:w="1019" w:type="pct"/>
            <w:shd w:val="clear" w:color="auto" w:fill="92D050"/>
            <w:vAlign w:val="center"/>
          </w:tcPr>
          <w:p w14:paraId="17ADE53E">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副书记</w:t>
            </w:r>
          </w:p>
        </w:tc>
        <w:tc>
          <w:tcPr>
            <w:tcW w:w="1042" w:type="pct"/>
            <w:shd w:val="clear" w:color="auto" w:fill="92D050"/>
            <w:vAlign w:val="center"/>
          </w:tcPr>
          <w:p w14:paraId="772981FA">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支部委员</w:t>
            </w:r>
          </w:p>
        </w:tc>
        <w:tc>
          <w:tcPr>
            <w:tcW w:w="738" w:type="pct"/>
            <w:shd w:val="clear" w:color="auto" w:fill="92D050"/>
            <w:vAlign w:val="center"/>
          </w:tcPr>
          <w:p w14:paraId="72F183DC">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02" w:type="pct"/>
            <w:shd w:val="clear" w:color="auto" w:fill="92D050"/>
            <w:vAlign w:val="center"/>
          </w:tcPr>
          <w:p w14:paraId="1D05C908">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r>
      <w:tr w14:paraId="7602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16" w:type="pct"/>
            <w:shd w:val="clear" w:color="auto" w:fill="FDEADA" w:themeFill="accent6" w:themeFillTint="32"/>
            <w:vAlign w:val="center"/>
          </w:tcPr>
          <w:p w14:paraId="54448625">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最高加分分值</w:t>
            </w:r>
          </w:p>
        </w:tc>
        <w:tc>
          <w:tcPr>
            <w:tcW w:w="781" w:type="pct"/>
            <w:shd w:val="clear" w:color="auto" w:fill="FFFFFF" w:themeFill="background1"/>
            <w:vAlign w:val="center"/>
          </w:tcPr>
          <w:p w14:paraId="4653B0AA">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1019" w:type="pct"/>
            <w:shd w:val="clear" w:color="auto" w:fill="FFFFFF" w:themeFill="background1"/>
            <w:vAlign w:val="center"/>
          </w:tcPr>
          <w:p w14:paraId="63BF7515">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1042" w:type="pct"/>
            <w:shd w:val="clear" w:color="auto" w:fill="FFFFFF" w:themeFill="background1"/>
            <w:vAlign w:val="center"/>
          </w:tcPr>
          <w:p w14:paraId="19C505D4">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c>
          <w:tcPr>
            <w:tcW w:w="738" w:type="pct"/>
            <w:shd w:val="clear" w:color="auto" w:fill="FFFFFF" w:themeFill="background1"/>
            <w:vAlign w:val="center"/>
          </w:tcPr>
          <w:p w14:paraId="6EF30D9A">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02" w:type="pct"/>
            <w:shd w:val="clear" w:color="auto" w:fill="FFFFFF" w:themeFill="background1"/>
            <w:vAlign w:val="center"/>
          </w:tcPr>
          <w:p w14:paraId="424AEE40">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r>
      <w:tr w14:paraId="7E37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16" w:type="pct"/>
            <w:shd w:val="clear" w:color="auto" w:fill="FDEADA" w:themeFill="accent6" w:themeFillTint="32"/>
            <w:vAlign w:val="center"/>
          </w:tcPr>
          <w:p w14:paraId="60939227">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班委</w:t>
            </w:r>
          </w:p>
        </w:tc>
        <w:tc>
          <w:tcPr>
            <w:tcW w:w="781" w:type="pct"/>
            <w:shd w:val="clear" w:color="auto" w:fill="92D050"/>
            <w:vAlign w:val="center"/>
          </w:tcPr>
          <w:p w14:paraId="0253D000">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班长</w:t>
            </w:r>
          </w:p>
        </w:tc>
        <w:tc>
          <w:tcPr>
            <w:tcW w:w="1019" w:type="pct"/>
            <w:shd w:val="clear" w:color="auto" w:fill="92D050"/>
            <w:vAlign w:val="center"/>
          </w:tcPr>
          <w:p w14:paraId="31B67501">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团支书</w:t>
            </w:r>
          </w:p>
        </w:tc>
        <w:tc>
          <w:tcPr>
            <w:tcW w:w="1042" w:type="pct"/>
            <w:shd w:val="clear" w:color="auto" w:fill="92D050"/>
            <w:vAlign w:val="center"/>
          </w:tcPr>
          <w:p w14:paraId="2314FC30">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学习委员</w:t>
            </w:r>
          </w:p>
        </w:tc>
        <w:tc>
          <w:tcPr>
            <w:tcW w:w="738" w:type="pct"/>
            <w:shd w:val="clear" w:color="auto" w:fill="92D050"/>
            <w:vAlign w:val="center"/>
          </w:tcPr>
          <w:p w14:paraId="55F6446D">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02" w:type="pct"/>
            <w:shd w:val="clear" w:color="auto" w:fill="92D050"/>
            <w:vAlign w:val="center"/>
          </w:tcPr>
          <w:p w14:paraId="78661F39">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r>
      <w:tr w14:paraId="47AD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16" w:type="pct"/>
            <w:shd w:val="clear" w:color="auto" w:fill="FDEADA" w:themeFill="accent6" w:themeFillTint="32"/>
            <w:vAlign w:val="center"/>
          </w:tcPr>
          <w:p w14:paraId="4737B3C8">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最高加分</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分值</w:t>
            </w:r>
          </w:p>
        </w:tc>
        <w:tc>
          <w:tcPr>
            <w:tcW w:w="781" w:type="pct"/>
            <w:shd w:val="clear" w:color="auto" w:fill="FFFFFF" w:themeFill="background1"/>
            <w:vAlign w:val="center"/>
          </w:tcPr>
          <w:p w14:paraId="0D106731">
            <w:pPr>
              <w:keepNext w:val="0"/>
              <w:keepLines w:val="0"/>
              <w:pageBreakBefore w:val="0"/>
              <w:tabs>
                <w:tab w:val="left" w:pos="360"/>
              </w:tabs>
              <w:kinsoku/>
              <w:overflowPunct/>
              <w:topLinePunct w:val="0"/>
              <w:autoSpaceDE/>
              <w:bidi w:val="0"/>
              <w:adjustRightInd/>
              <w:spacing w:line="360" w:lineRule="exact"/>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1019" w:type="pct"/>
            <w:shd w:val="clear" w:color="auto" w:fill="FFFFFF" w:themeFill="background1"/>
            <w:vAlign w:val="center"/>
          </w:tcPr>
          <w:p w14:paraId="15C3CF97">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1042" w:type="pct"/>
            <w:shd w:val="clear" w:color="auto" w:fill="FFFFFF" w:themeFill="background1"/>
            <w:vAlign w:val="center"/>
          </w:tcPr>
          <w:p w14:paraId="0DC2BE1E">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738" w:type="pct"/>
            <w:shd w:val="clear" w:color="auto" w:fill="FFFFFF" w:themeFill="background1"/>
            <w:vAlign w:val="center"/>
          </w:tcPr>
          <w:p w14:paraId="679B1566">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02" w:type="pct"/>
            <w:shd w:val="clear" w:color="auto" w:fill="FFFFFF" w:themeFill="background1"/>
            <w:vAlign w:val="center"/>
          </w:tcPr>
          <w:p w14:paraId="16D190D6">
            <w:pPr>
              <w:keepNext w:val="0"/>
              <w:keepLines w:val="0"/>
              <w:pageBreakBefore w:val="0"/>
              <w:tabs>
                <w:tab w:val="left" w:pos="360"/>
              </w:tabs>
              <w:kinsoku/>
              <w:overflowPunct/>
              <w:topLinePunct w:val="0"/>
              <w:autoSpaceDE/>
              <w:bidi w:val="0"/>
              <w:adjustRightInd/>
              <w:spacing w:line="360" w:lineRule="exact"/>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r>
    </w:tbl>
    <w:p w14:paraId="6A596900">
      <w:pPr>
        <w:keepNext w:val="0"/>
        <w:keepLines w:val="0"/>
        <w:pageBreakBefore w:val="0"/>
        <w:tabs>
          <w:tab w:val="left" w:pos="360"/>
        </w:tabs>
        <w:kinsoku/>
        <w:overflowPunct/>
        <w:topLinePunct w:val="0"/>
        <w:autoSpaceDE/>
        <w:bidi w:val="0"/>
        <w:adjustRightInd/>
        <w:spacing w:line="36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注：研究生干部加分由研究生办公室考核加分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身兼多职者，以最高分的两个职务计分。</w:t>
      </w:r>
    </w:p>
    <w:p w14:paraId="2A302F88">
      <w:pPr>
        <w:keepNext w:val="0"/>
        <w:keepLines w:val="0"/>
        <w:pageBreakBefore w:val="0"/>
        <w:numPr>
          <w:ilvl w:val="0"/>
          <w:numId w:val="0"/>
        </w:numPr>
        <w:tabs>
          <w:tab w:val="left" w:pos="360"/>
        </w:tabs>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p>
    <w:p w14:paraId="4C4CAF03">
      <w:pPr>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4.志愿者服务时长</w:t>
      </w:r>
      <w:r>
        <w:rPr>
          <w:rFonts w:hint="eastAsia" w:asciiTheme="minorEastAsia" w:hAnsiTheme="minorEastAsia" w:eastAsiaTheme="minorEastAsia" w:cstheme="minorEastAsia"/>
          <w:b/>
          <w:bCs/>
          <w:color w:val="auto"/>
          <w:sz w:val="24"/>
          <w:szCs w:val="24"/>
          <w:highlight w:val="none"/>
          <w:lang w:val="en-US" w:eastAsia="zh-CN"/>
        </w:rPr>
        <w:t>（D4）</w:t>
      </w:r>
    </w:p>
    <w:p w14:paraId="003A6C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（1）吉首大学校级提供志愿汇截图证明；（去掉小数点，不计分）</w:t>
      </w:r>
    </w:p>
    <w:p w14:paraId="25BB54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（2）文学与新媒体学院办公室提供证明；</w:t>
      </w:r>
    </w:p>
    <w:p w14:paraId="5F7214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（3）志愿服务时长0.1分/小时，20小时以上0.2分/小时。</w:t>
      </w:r>
    </w:p>
    <w:p w14:paraId="723BF7B8">
      <w:pPr>
        <w:keepNext w:val="0"/>
        <w:keepLines w:val="0"/>
        <w:pageBreakBefore w:val="0"/>
        <w:numPr>
          <w:ilvl w:val="0"/>
          <w:numId w:val="0"/>
        </w:numPr>
        <w:tabs>
          <w:tab w:val="left" w:pos="360"/>
        </w:tabs>
        <w:kinsoku/>
        <w:overflowPunct/>
        <w:topLinePunct w:val="0"/>
        <w:autoSpaceDE/>
        <w:bidi w:val="0"/>
        <w:adjustRightInd/>
        <w:spacing w:line="360" w:lineRule="auto"/>
        <w:jc w:val="left"/>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p>
    <w:p w14:paraId="37553259">
      <w:pPr>
        <w:tabs>
          <w:tab w:val="left" w:pos="360"/>
        </w:tabs>
        <w:spacing w:line="360" w:lineRule="auto"/>
        <w:ind w:firstLine="560" w:firstLineChars="200"/>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六、思想政治及综合表现（E，满足以下条件E=1,不满足以下条件E=0）</w:t>
      </w:r>
    </w:p>
    <w:p w14:paraId="2640ED42">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评审内容包括考核研究生的政治素质、心理素质、集体观念、遵纪守法、社会公德等思想政治表现。有以下情节之一者</w:t>
      </w:r>
      <w:r>
        <w:rPr>
          <w:rFonts w:hint="eastAsia" w:asciiTheme="minorEastAsia" w:hAnsiTheme="minorEastAsia" w:eastAsiaTheme="minorEastAsia" w:cstheme="minorEastAsia"/>
          <w:b/>
          <w:bCs/>
          <w:sz w:val="24"/>
        </w:rPr>
        <w:t>取消其研究生国家奖学金参评资格：</w:t>
      </w:r>
    </w:p>
    <w:p w14:paraId="0BB156D3">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（1）在校期间有违法犯罪行为，受到刑事、行政处罚者；</w:t>
      </w:r>
    </w:p>
    <w:p w14:paraId="3904C67D">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（2）在校期间有违纪现象，受纪律处分者；</w:t>
      </w:r>
    </w:p>
    <w:p w14:paraId="01FC76BE">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（3）出现论文抄袭、造假等学术不端行为者；</w:t>
      </w:r>
    </w:p>
    <w:p w14:paraId="685BE06D">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（4）课程学习阶段，一学期内累计请假达30学时或者15天者；论文撰写阶段未按规定程序请假而离校、时间超过7天的研究生。</w:t>
      </w:r>
    </w:p>
    <w:p w14:paraId="16E4B9B3">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（5）经核实为非全脱产学习的研究生。</w:t>
      </w:r>
    </w:p>
    <w:p w14:paraId="13B987EB">
      <w:pPr>
        <w:spacing w:line="360" w:lineRule="auto"/>
        <w:ind w:firstLine="480" w:firstLineChars="200"/>
        <w:rPr>
          <w:rFonts w:hint="eastAsia" w:asciiTheme="minorEastAsia" w:hAnsiTheme="minorEastAsia" w:eastAsiaTheme="minorEastAsia" w:cstheme="minorEastAsia"/>
          <w:sz w:val="24"/>
        </w:rPr>
      </w:pPr>
    </w:p>
    <w:p w14:paraId="3C9202A2">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七、减分项目（</w:t>
      </w:r>
      <w:r>
        <w:rPr>
          <w:rFonts w:hint="default" w:ascii="黑体" w:hAnsi="黑体" w:eastAsia="黑体" w:cs="黑体"/>
          <w:sz w:val="28"/>
          <w:szCs w:val="28"/>
          <w:lang w:val="en-US" w:eastAsia="zh-CN"/>
        </w:rPr>
        <w:t>F</w:t>
      </w:r>
      <w:r>
        <w:rPr>
          <w:rFonts w:hint="eastAsia" w:ascii="黑体" w:hAnsi="黑体" w:eastAsia="黑体" w:cs="黑体"/>
          <w:sz w:val="28"/>
          <w:szCs w:val="28"/>
          <w:lang w:val="en-US" w:eastAsia="zh-CN"/>
        </w:rPr>
        <w:t>）</w:t>
      </w:r>
    </w:p>
    <w:p w14:paraId="5C9371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1.无故不参加：</w:t>
      </w:r>
      <w:r>
        <w:rPr>
          <w:rFonts w:hint="default" w:ascii="Calibri" w:hAnsi="Calibri" w:cs="Calibri" w:eastAsiaTheme="minorEastAsia"/>
          <w:color w:val="000000" w:themeColor="text1"/>
          <w:sz w:val="24"/>
          <w:szCs w:val="24"/>
          <w:highlight w:val="none"/>
          <w:lang w:val="en-US" w:eastAsia="zh-CN"/>
          <w14:textFill>
            <w14:solidFill>
              <w14:schemeClr w14:val="tx1"/>
            </w14:solidFill>
          </w14:textFill>
        </w:rPr>
        <w:t>①</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校、院、专业、班级组织的思想政治教育活动；</w:t>
      </w:r>
      <w:r>
        <w:rPr>
          <w:rFonts w:hint="default" w:ascii="Calibri" w:hAnsi="Calibri" w:cs="Calibri" w:eastAsia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党支部、班集体、团支部组织的集体政治学习；</w:t>
      </w:r>
      <w:r>
        <w:rPr>
          <w:rFonts w:hint="default" w:ascii="Calibri" w:hAnsi="Calibri" w:cs="Calibri" w:eastAsiaTheme="minorEastAsia"/>
          <w:color w:val="000000" w:themeColor="text1"/>
          <w:sz w:val="24"/>
          <w:szCs w:val="24"/>
          <w:highlight w:val="none"/>
          <w:lang w:val="en-US" w:eastAsia="zh-CN"/>
          <w14:textFill>
            <w14:solidFill>
              <w14:schemeClr w14:val="tx1"/>
            </w14:solidFill>
          </w14:textFill>
        </w:rPr>
        <w:t>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专业方向学习（读书报告会、</w:t>
      </w:r>
      <w:r>
        <w:rPr>
          <w:rFonts w:hint="eastAsia" w:asciiTheme="minorEastAsia" w:hAnsiTheme="minorEastAsia" w:eastAsiaTheme="minorEastAsia" w:cstheme="minorEastAsia"/>
          <w:color w:val="auto"/>
          <w:sz w:val="24"/>
          <w:szCs w:val="24"/>
          <w:highlight w:val="none"/>
          <w:lang w:val="en-US" w:eastAsia="zh-CN"/>
        </w:rPr>
        <w:t>专题研讨会、学术讲座），经查实，减1分/次；</w:t>
      </w:r>
    </w:p>
    <w:p w14:paraId="1F2BBE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2.在各类网络平台、公共场所发布虚假信息、不当言论，造成较小影响，受到学院通报批评者每次减2分；</w:t>
      </w:r>
    </w:p>
    <w:p w14:paraId="5B6222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3.课程学习阶段，一学期内累计请假已超过10学时以后，每请假2学时，减1分/次。除病假外，病假者提供正规医院相关证明；</w:t>
      </w:r>
    </w:p>
    <w:p w14:paraId="7C6327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4.不讲社会公德、故意损坏公物或破坏环境的，经查实，减1分/次；无故不按时交清学费、贷款者，每催缴一次减1分；恶意欠费减2分；</w:t>
      </w:r>
    </w:p>
    <w:p w14:paraId="6DD05A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5.其他未尽事宜，被研究生办通报批评者每次2分。</w:t>
      </w:r>
    </w:p>
    <w:p w14:paraId="7B0C043C">
      <w:pPr>
        <w:tabs>
          <w:tab w:val="left" w:pos="360"/>
        </w:tabs>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p>
    <w:p w14:paraId="7FCB2408">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八、评审基本原则与程序</w:t>
      </w:r>
    </w:p>
    <w:p w14:paraId="67685818">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评审结果应用</w:t>
      </w:r>
    </w:p>
    <w:p w14:paraId="6E4947A0">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根据研究生国家奖学金评审内容的</w:t>
      </w:r>
      <w:r>
        <w:rPr>
          <w:rFonts w:hint="eastAsia" w:asciiTheme="minorEastAsia" w:hAnsiTheme="minorEastAsia" w:eastAsiaTheme="minorEastAsia" w:cstheme="minorEastAsia"/>
          <w:sz w:val="24"/>
          <w:lang w:val="en-US" w:eastAsia="zh-CN"/>
        </w:rPr>
        <w:t>各项</w:t>
      </w:r>
      <w:r>
        <w:rPr>
          <w:rFonts w:hint="eastAsia" w:asciiTheme="minorEastAsia" w:hAnsiTheme="minorEastAsia" w:eastAsiaTheme="minorEastAsia" w:cstheme="minorEastAsia"/>
          <w:sz w:val="24"/>
        </w:rPr>
        <w:t>成绩，由高分到低分排名，其排名靠前者（实际名额的一定差额）为国家奖学金预选名额，进入思想政治综合表现考核，通过思想</w:t>
      </w:r>
      <w:r>
        <w:rPr>
          <w:rFonts w:hint="eastAsia" w:asciiTheme="minorEastAsia" w:hAnsiTheme="minorEastAsia" w:eastAsiaTheme="minorEastAsia" w:cstheme="minorEastAsia"/>
          <w:sz w:val="24"/>
          <w:lang w:eastAsia="zh-CN"/>
        </w:rPr>
        <w:t>政治</w:t>
      </w:r>
      <w:r>
        <w:rPr>
          <w:rFonts w:hint="eastAsia" w:asciiTheme="minorEastAsia" w:hAnsiTheme="minorEastAsia" w:eastAsiaTheme="minorEastAsia" w:cstheme="minorEastAsia"/>
          <w:sz w:val="24"/>
        </w:rPr>
        <w:t>综合考核，各培养单位评审委员会确立研究生国家奖学金推荐人选。</w:t>
      </w:r>
    </w:p>
    <w:p w14:paraId="34963B36">
      <w:pPr>
        <w:spacing w:line="360" w:lineRule="auto"/>
        <w:ind w:firstLine="4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各二级培养单位可根据本办法结合本学科的特点和人才培养要求，制定相应的实施细则，报研究生院备案。</w:t>
      </w:r>
    </w:p>
    <w:p w14:paraId="293F9E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p w14:paraId="63A85640">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九、组织机构</w:t>
      </w:r>
    </w:p>
    <w:p w14:paraId="571B72D8">
      <w:pPr>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（一）院级评审委员会</w:t>
      </w:r>
    </w:p>
    <w:p w14:paraId="541638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4"/>
          <w:szCs w:val="24"/>
          <w:highlight w:val="none"/>
          <w:lang w:val="en-US" w:eastAsia="zh-CN"/>
        </w:rPr>
        <w:t>院级评审委员会由学院院长、学院评审委员会委员、研究生秘书负责学院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研究生奖学金的审核及推荐等工作。</w:t>
      </w:r>
    </w:p>
    <w:p w14:paraId="1FBC9103">
      <w:pPr>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（二）年级评审委员会</w:t>
      </w:r>
    </w:p>
    <w:p w14:paraId="4A97F6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年级评审委员会成员由各班级推荐党员代表、学生干部代表、学生代表构成，成员10—12人组成，实行年级交叉评定，研究生秘书老师担任组长。</w:t>
      </w:r>
    </w:p>
    <w:p w14:paraId="296F5B72">
      <w:pPr>
        <w:keepNext w:val="0"/>
        <w:keepLines w:val="0"/>
        <w:pageBreakBefore w:val="0"/>
        <w:widowControl/>
        <w:suppressLineNumbers w:val="0"/>
        <w:kinsoku/>
        <w:overflowPunct/>
        <w:topLinePunct w:val="0"/>
        <w:autoSpaceDE/>
        <w:bidi w:val="0"/>
        <w:adjustRightInd/>
        <w:spacing w:line="360" w:lineRule="auto"/>
        <w:ind w:firstLine="2650" w:firstLineChars="1100"/>
        <w:jc w:val="left"/>
        <w:textAlignment w:val="auto"/>
        <w:rPr>
          <w:rFonts w:hint="eastAsia" w:asciiTheme="minorEastAsia" w:hAnsiTheme="minorEastAsia" w:eastAsiaTheme="minorEastAsia" w:cstheme="minorEastAsia"/>
          <w:b/>
          <w:color w:val="000000" w:themeColor="text1"/>
          <w:kern w:val="2"/>
          <w:sz w:val="24"/>
          <w:szCs w:val="24"/>
          <w:highlight w:val="none"/>
          <w:lang w:val="en-US" w:eastAsia="zh-CN" w:bidi="ar-SA"/>
          <w14:textFill>
            <w14:solidFill>
              <w14:schemeClr w14:val="tx1"/>
            </w14:solidFill>
          </w14:textFill>
        </w:rPr>
      </w:pPr>
    </w:p>
    <w:p w14:paraId="421066B9">
      <w:pPr>
        <w:tabs>
          <w:tab w:val="left" w:pos="360"/>
        </w:tabs>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十、附则</w:t>
      </w:r>
    </w:p>
    <w:p w14:paraId="4A9249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本细则由文学与新媒体学院研究生办负责解释。</w:t>
      </w:r>
    </w:p>
    <w:p w14:paraId="49FAC598">
      <w:pPr>
        <w:keepNext w:val="0"/>
        <w:keepLines w:val="0"/>
        <w:pageBreakBefore w:val="0"/>
        <w:widowControl/>
        <w:numPr>
          <w:ilvl w:val="0"/>
          <w:numId w:val="0"/>
        </w:numPr>
        <w:suppressLineNumbers w:val="0"/>
        <w:kinsoku/>
        <w:overflowPunct/>
        <w:topLinePunct w:val="0"/>
        <w:autoSpaceDE/>
        <w:bidi w:val="0"/>
        <w:adjustRightInd/>
        <w:spacing w:line="360" w:lineRule="auto"/>
        <w:jc w:val="righ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p>
    <w:p w14:paraId="741714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文学与新媒体学院</w:t>
      </w:r>
    </w:p>
    <w:p w14:paraId="2110C1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2026年5月19日</w:t>
      </w:r>
    </w:p>
    <w:p w14:paraId="6A252A86">
      <w:pPr>
        <w:keepNext w:val="0"/>
        <w:keepLines w:val="0"/>
        <w:pageBreakBefore w:val="0"/>
        <w:widowControl/>
        <w:numPr>
          <w:ilvl w:val="0"/>
          <w:numId w:val="0"/>
        </w:numPr>
        <w:suppressLineNumbers w:val="0"/>
        <w:kinsoku/>
        <w:overflowPunct/>
        <w:topLinePunct w:val="0"/>
        <w:autoSpaceDE/>
        <w:bidi w:val="0"/>
        <w:adjustRightInd/>
        <w:spacing w:line="360" w:lineRule="auto"/>
        <w:ind w:firstLine="240" w:firstLineChars="1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p>
    <w:p w14:paraId="29A0D0F8">
      <w:pPr>
        <w:spacing w:line="360" w:lineRule="auto"/>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010B5747">
      <w:pPr>
        <w:spacing w:line="360" w:lineRule="auto"/>
        <w:ind w:right="140"/>
        <w:jc w:val="both"/>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sectPr>
      <w:pgSz w:w="11906" w:h="16838"/>
      <w:pgMar w:top="1440" w:right="1800" w:bottom="1440" w:left="19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ˎ̥">
    <w:altName w:val="Noto Serif SC"/>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N2ZkYjZkOTNlMzczN2NkMGUxYTRhYzEzZDRhMDkifQ=="/>
  </w:docVars>
  <w:rsids>
    <w:rsidRoot w:val="00AE36EF"/>
    <w:rsid w:val="00012689"/>
    <w:rsid w:val="0013337B"/>
    <w:rsid w:val="00154DC3"/>
    <w:rsid w:val="00171674"/>
    <w:rsid w:val="001C56BE"/>
    <w:rsid w:val="002202B2"/>
    <w:rsid w:val="00283933"/>
    <w:rsid w:val="0029767C"/>
    <w:rsid w:val="00350FAA"/>
    <w:rsid w:val="003974C7"/>
    <w:rsid w:val="004026BA"/>
    <w:rsid w:val="004151AF"/>
    <w:rsid w:val="00437996"/>
    <w:rsid w:val="004452EC"/>
    <w:rsid w:val="004511C0"/>
    <w:rsid w:val="00477E71"/>
    <w:rsid w:val="00485969"/>
    <w:rsid w:val="004C3618"/>
    <w:rsid w:val="004E7E1B"/>
    <w:rsid w:val="004F6F84"/>
    <w:rsid w:val="0054360F"/>
    <w:rsid w:val="00571C6A"/>
    <w:rsid w:val="005835F8"/>
    <w:rsid w:val="005C29B6"/>
    <w:rsid w:val="005D2F8C"/>
    <w:rsid w:val="00603030"/>
    <w:rsid w:val="0061688B"/>
    <w:rsid w:val="00616C8E"/>
    <w:rsid w:val="0064135F"/>
    <w:rsid w:val="006443EE"/>
    <w:rsid w:val="00655CE2"/>
    <w:rsid w:val="00662F2C"/>
    <w:rsid w:val="0066350E"/>
    <w:rsid w:val="00664646"/>
    <w:rsid w:val="00680847"/>
    <w:rsid w:val="006F6E21"/>
    <w:rsid w:val="00730319"/>
    <w:rsid w:val="00782645"/>
    <w:rsid w:val="007A7A1F"/>
    <w:rsid w:val="00836EB3"/>
    <w:rsid w:val="008B371B"/>
    <w:rsid w:val="008C13B9"/>
    <w:rsid w:val="00907868"/>
    <w:rsid w:val="009C24F8"/>
    <w:rsid w:val="009E3AE7"/>
    <w:rsid w:val="00A07ADC"/>
    <w:rsid w:val="00A82B82"/>
    <w:rsid w:val="00A9382D"/>
    <w:rsid w:val="00AA7F9B"/>
    <w:rsid w:val="00AE36EF"/>
    <w:rsid w:val="00B15632"/>
    <w:rsid w:val="00B21048"/>
    <w:rsid w:val="00B2212B"/>
    <w:rsid w:val="00B64E28"/>
    <w:rsid w:val="00B70469"/>
    <w:rsid w:val="00BD556B"/>
    <w:rsid w:val="00BF7FF0"/>
    <w:rsid w:val="00C025BC"/>
    <w:rsid w:val="00C318F3"/>
    <w:rsid w:val="00C60159"/>
    <w:rsid w:val="00C84239"/>
    <w:rsid w:val="00CC3BE2"/>
    <w:rsid w:val="00CD1F9D"/>
    <w:rsid w:val="00D043AD"/>
    <w:rsid w:val="00D5244E"/>
    <w:rsid w:val="00DF17EC"/>
    <w:rsid w:val="00E02264"/>
    <w:rsid w:val="00E3395B"/>
    <w:rsid w:val="00E85423"/>
    <w:rsid w:val="00EE4150"/>
    <w:rsid w:val="00F313DA"/>
    <w:rsid w:val="00FA25C7"/>
    <w:rsid w:val="011E0236"/>
    <w:rsid w:val="014709BB"/>
    <w:rsid w:val="02902A6D"/>
    <w:rsid w:val="02A14878"/>
    <w:rsid w:val="02DD6241"/>
    <w:rsid w:val="04572280"/>
    <w:rsid w:val="04C9670A"/>
    <w:rsid w:val="06412DCB"/>
    <w:rsid w:val="070659F4"/>
    <w:rsid w:val="070E633E"/>
    <w:rsid w:val="076016EA"/>
    <w:rsid w:val="07AD2313"/>
    <w:rsid w:val="09C01D0D"/>
    <w:rsid w:val="0A44169C"/>
    <w:rsid w:val="0B4B60CB"/>
    <w:rsid w:val="0B50723E"/>
    <w:rsid w:val="0B855319"/>
    <w:rsid w:val="0C8278CB"/>
    <w:rsid w:val="0CDD2D53"/>
    <w:rsid w:val="0D0528EF"/>
    <w:rsid w:val="10A563B0"/>
    <w:rsid w:val="115869D7"/>
    <w:rsid w:val="11990174"/>
    <w:rsid w:val="11A516C1"/>
    <w:rsid w:val="128F7902"/>
    <w:rsid w:val="12CC4DF1"/>
    <w:rsid w:val="12E1397D"/>
    <w:rsid w:val="13332222"/>
    <w:rsid w:val="144357A0"/>
    <w:rsid w:val="14814055"/>
    <w:rsid w:val="1571672E"/>
    <w:rsid w:val="1594241D"/>
    <w:rsid w:val="15EE097E"/>
    <w:rsid w:val="181F70EA"/>
    <w:rsid w:val="1A2842D1"/>
    <w:rsid w:val="1A732F49"/>
    <w:rsid w:val="1C7A05BE"/>
    <w:rsid w:val="1E2A78A2"/>
    <w:rsid w:val="1EBA1CDB"/>
    <w:rsid w:val="1FF365AB"/>
    <w:rsid w:val="214B42D7"/>
    <w:rsid w:val="21BB3318"/>
    <w:rsid w:val="2398619C"/>
    <w:rsid w:val="245E07C6"/>
    <w:rsid w:val="255701E1"/>
    <w:rsid w:val="25F2275C"/>
    <w:rsid w:val="25F77420"/>
    <w:rsid w:val="275814FC"/>
    <w:rsid w:val="27EE4534"/>
    <w:rsid w:val="2A437117"/>
    <w:rsid w:val="2A570191"/>
    <w:rsid w:val="2ABE5B1A"/>
    <w:rsid w:val="2B034535"/>
    <w:rsid w:val="2BFA5153"/>
    <w:rsid w:val="2C70553A"/>
    <w:rsid w:val="2D5A5082"/>
    <w:rsid w:val="2DEC0BF0"/>
    <w:rsid w:val="2ECD0A22"/>
    <w:rsid w:val="2F8F2174"/>
    <w:rsid w:val="3062519A"/>
    <w:rsid w:val="3240775C"/>
    <w:rsid w:val="32D9528C"/>
    <w:rsid w:val="34421CEA"/>
    <w:rsid w:val="362A49AB"/>
    <w:rsid w:val="36830DC7"/>
    <w:rsid w:val="36AA33F6"/>
    <w:rsid w:val="37166F55"/>
    <w:rsid w:val="373A29CC"/>
    <w:rsid w:val="37D915CA"/>
    <w:rsid w:val="3851621F"/>
    <w:rsid w:val="38D524E9"/>
    <w:rsid w:val="394328C3"/>
    <w:rsid w:val="397B65A7"/>
    <w:rsid w:val="39CD5D7A"/>
    <w:rsid w:val="3BF47EEA"/>
    <w:rsid w:val="3C5775A6"/>
    <w:rsid w:val="3F2D2E17"/>
    <w:rsid w:val="3F3B19D7"/>
    <w:rsid w:val="3F3FEFD7"/>
    <w:rsid w:val="3F6902F3"/>
    <w:rsid w:val="40580367"/>
    <w:rsid w:val="40A86BF9"/>
    <w:rsid w:val="40E907ED"/>
    <w:rsid w:val="414E3B17"/>
    <w:rsid w:val="420936C7"/>
    <w:rsid w:val="45701CAF"/>
    <w:rsid w:val="49FE091F"/>
    <w:rsid w:val="4B681684"/>
    <w:rsid w:val="4BD62A6E"/>
    <w:rsid w:val="4CFB3375"/>
    <w:rsid w:val="4EF9B11E"/>
    <w:rsid w:val="4F6E54B1"/>
    <w:rsid w:val="4F8C6496"/>
    <w:rsid w:val="50377F99"/>
    <w:rsid w:val="50DC644B"/>
    <w:rsid w:val="51315E34"/>
    <w:rsid w:val="51570199"/>
    <w:rsid w:val="530A3743"/>
    <w:rsid w:val="53203484"/>
    <w:rsid w:val="53753DDA"/>
    <w:rsid w:val="55735466"/>
    <w:rsid w:val="55CA0F67"/>
    <w:rsid w:val="55FF3307"/>
    <w:rsid w:val="560426CB"/>
    <w:rsid w:val="565A5499"/>
    <w:rsid w:val="56D15CCD"/>
    <w:rsid w:val="56D77DE0"/>
    <w:rsid w:val="5A2315B8"/>
    <w:rsid w:val="5B8A71CF"/>
    <w:rsid w:val="5BB82522"/>
    <w:rsid w:val="5CC130C4"/>
    <w:rsid w:val="5DD606B0"/>
    <w:rsid w:val="5DF30202"/>
    <w:rsid w:val="5DF41277"/>
    <w:rsid w:val="5DFED982"/>
    <w:rsid w:val="5E290C38"/>
    <w:rsid w:val="5EDA8361"/>
    <w:rsid w:val="5EEC5FAD"/>
    <w:rsid w:val="5F1F0576"/>
    <w:rsid w:val="5F55680C"/>
    <w:rsid w:val="604D1B99"/>
    <w:rsid w:val="61687803"/>
    <w:rsid w:val="62F54C5F"/>
    <w:rsid w:val="63A177AC"/>
    <w:rsid w:val="6420703D"/>
    <w:rsid w:val="658C2614"/>
    <w:rsid w:val="668825E2"/>
    <w:rsid w:val="67BA4E7B"/>
    <w:rsid w:val="6A7802E2"/>
    <w:rsid w:val="6A835E5D"/>
    <w:rsid w:val="6BFA7B34"/>
    <w:rsid w:val="6E080427"/>
    <w:rsid w:val="6EB9236E"/>
    <w:rsid w:val="6FB32B56"/>
    <w:rsid w:val="70B84386"/>
    <w:rsid w:val="728C0E2B"/>
    <w:rsid w:val="732F3FA3"/>
    <w:rsid w:val="73E767AC"/>
    <w:rsid w:val="74C57CDB"/>
    <w:rsid w:val="75EB2832"/>
    <w:rsid w:val="7614266C"/>
    <w:rsid w:val="76FFC471"/>
    <w:rsid w:val="778925D9"/>
    <w:rsid w:val="77D65D5A"/>
    <w:rsid w:val="77E37F3B"/>
    <w:rsid w:val="77F3BB00"/>
    <w:rsid w:val="7AA0216B"/>
    <w:rsid w:val="7B5FC83A"/>
    <w:rsid w:val="7BD26EE1"/>
    <w:rsid w:val="7C01571F"/>
    <w:rsid w:val="7C091B42"/>
    <w:rsid w:val="7C7F3FAA"/>
    <w:rsid w:val="7E670ABB"/>
    <w:rsid w:val="7E906943"/>
    <w:rsid w:val="7EFEA1AC"/>
    <w:rsid w:val="7F7D0861"/>
    <w:rsid w:val="7FF91A82"/>
    <w:rsid w:val="7FFB4294"/>
    <w:rsid w:val="BF7BA1EC"/>
    <w:rsid w:val="DFF7B578"/>
    <w:rsid w:val="EFBF2CC2"/>
    <w:rsid w:val="EFFD2F14"/>
    <w:rsid w:val="F1AA9D08"/>
    <w:rsid w:val="F57E1769"/>
    <w:rsid w:val="F7AE2270"/>
    <w:rsid w:val="F7F59EC8"/>
    <w:rsid w:val="F7FF63D7"/>
    <w:rsid w:val="FCB73881"/>
    <w:rsid w:val="FDFCDFC1"/>
    <w:rsid w:val="FE5FA96E"/>
    <w:rsid w:val="FF3BEEE0"/>
    <w:rsid w:val="FFFA5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3"/>
    <w:qFormat/>
    <w:uiPriority w:val="0"/>
    <w:pPr>
      <w:keepNext/>
      <w:keepLines/>
      <w:spacing w:before="240" w:beforeLines="0" w:after="240" w:afterLines="0" w:line="440" w:lineRule="atLeast"/>
      <w:jc w:val="center"/>
      <w:outlineLvl w:val="2"/>
    </w:pPr>
    <w:rPr>
      <w:rFonts w:ascii="Times New Roman" w:hAnsi="Times New Roman" w:eastAsia="黑体" w:cs="Times New Roman"/>
      <w:b/>
      <w:sz w:val="32"/>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5">
    <w:name w:val="Balloon Text"/>
    <w:basedOn w:val="1"/>
    <w:semiHidden/>
    <w:qFormat/>
    <w:uiPriority w:val="0"/>
    <w:rPr>
      <w:sz w:val="18"/>
      <w:szCs w:val="18"/>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Char"/>
    <w:basedOn w:val="10"/>
    <w:link w:val="6"/>
    <w:qFormat/>
    <w:uiPriority w:val="0"/>
    <w:rPr>
      <w:kern w:val="2"/>
      <w:sz w:val="18"/>
      <w:szCs w:val="18"/>
    </w:rPr>
  </w:style>
  <w:style w:type="character" w:customStyle="1" w:styleId="12">
    <w:name w:val="页眉 Char"/>
    <w:basedOn w:val="10"/>
    <w:link w:val="7"/>
    <w:qFormat/>
    <w:uiPriority w:val="0"/>
    <w:rPr>
      <w:kern w:val="2"/>
      <w:sz w:val="18"/>
      <w:szCs w:val="18"/>
    </w:rPr>
  </w:style>
  <w:style w:type="paragraph" w:customStyle="1" w:styleId="13">
    <w:name w:val="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14</Pages>
  <Words>5787</Words>
  <Characters>6081</Characters>
  <Lines>13</Lines>
  <Paragraphs>3</Paragraphs>
  <TotalTime>12</TotalTime>
  <ScaleCrop>false</ScaleCrop>
  <LinksUpToDate>false</LinksUpToDate>
  <CharactersWithSpaces>6109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2022-09-23T03:34:00Z</dcterms:created>
  <dc:creator>Sky123.Org</dc:creator>
  <cp:lastModifiedBy>荼蘼上岸</cp:lastModifiedBy>
  <cp:lastPrinted>2022-10-31T01:53:00Z</cp:lastPrinted>
  <dcterms:modified xsi:type="dcterms:W3CDTF">2026-06-01T15:11:35Z</dcterms:modified>
  <dc:title>文学与新闻传播学院关于研究生国家奖学金评审的补充细则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FAA33041154B4A7DB7F90BABA40F4413_13</vt:lpwstr>
  </property>
  <property fmtid="{D5CDD505-2E9C-101B-9397-08002B2CF9AE}" pid="4" name="KSOTemplateDocerSaveRecord">
    <vt:lpwstr>eyJoZGlkIjoiMjJjMjhiYjRlMDE5NGRhOTY4MWFmMTQ2N2I4ZjVhNTIiLCJ1c2VySWQiOiIxMDQ3MDg1MjQwIn0=</vt:lpwstr>
  </property>
</Properties>
</file>